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E5" w:rsidRDefault="00571B34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920E5">
        <w:tc>
          <w:tcPr>
            <w:tcW w:w="2160" w:type="dxa"/>
          </w:tcPr>
          <w:p w:rsidR="00D920E5" w:rsidRDefault="00571B34">
            <w:r>
              <w:t>序号</w:t>
            </w:r>
          </w:p>
        </w:tc>
        <w:tc>
          <w:tcPr>
            <w:tcW w:w="2160" w:type="dxa"/>
          </w:tcPr>
          <w:p w:rsidR="00D920E5" w:rsidRDefault="00571B34">
            <w:r>
              <w:t>货物名称</w:t>
            </w:r>
          </w:p>
        </w:tc>
        <w:tc>
          <w:tcPr>
            <w:tcW w:w="4320" w:type="dxa"/>
            <w:gridSpan w:val="2"/>
          </w:tcPr>
          <w:p w:rsidR="00D920E5" w:rsidRDefault="00571B34">
            <w:r>
              <w:t>技术要求</w:t>
            </w:r>
          </w:p>
        </w:tc>
      </w:tr>
      <w:tr w:rsidR="00D920E5">
        <w:tc>
          <w:tcPr>
            <w:tcW w:w="4320" w:type="dxa"/>
            <w:gridSpan w:val="2"/>
          </w:tcPr>
          <w:p w:rsidR="00D920E5" w:rsidRDefault="00571B34">
            <w:r>
              <w:t>总体要求</w:t>
            </w:r>
          </w:p>
        </w:tc>
        <w:tc>
          <w:tcPr>
            <w:tcW w:w="4320" w:type="dxa"/>
            <w:gridSpan w:val="2"/>
          </w:tcPr>
          <w:p w:rsidR="00D920E5" w:rsidRDefault="00571B34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）、最大流量每分钟</w:t>
            </w:r>
            <w:r>
              <w:rPr>
                <w:lang w:eastAsia="zh-CN"/>
              </w:rPr>
              <w:t>≥40</w:t>
            </w:r>
            <w:r>
              <w:rPr>
                <w:lang w:eastAsia="zh-CN"/>
              </w:rPr>
              <w:t>升。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2</w:t>
            </w:r>
            <w:r>
              <w:rPr>
                <w:lang w:eastAsia="zh-CN"/>
              </w:rPr>
              <w:t>）、现代触屏界面，操作直观。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3</w:t>
            </w:r>
            <w:r>
              <w:rPr>
                <w:lang w:eastAsia="zh-CN"/>
              </w:rPr>
              <w:t>）、更稳定的压力监测功能，保证监测结果有效可控。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4</w:t>
            </w:r>
            <w:r>
              <w:rPr>
                <w:lang w:eastAsia="zh-CN"/>
              </w:rPr>
              <w:t>）、适用于普外科、妇科、泌尿科等各科腹腔镜手术，同时新增小儿外科专业模式。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5</w:t>
            </w:r>
            <w:r>
              <w:rPr>
                <w:lang w:eastAsia="zh-CN"/>
              </w:rPr>
              <w:t>）、高速灌流模式，适用于成人，压力调节范围：</w:t>
            </w:r>
            <w:r>
              <w:rPr>
                <w:lang w:eastAsia="zh-CN"/>
              </w:rPr>
              <w:t>1-30mmHg,</w:t>
            </w:r>
            <w:r>
              <w:rPr>
                <w:lang w:eastAsia="zh-CN"/>
              </w:rPr>
              <w:t>流速调节范围：</w:t>
            </w:r>
            <w:r>
              <w:rPr>
                <w:lang w:eastAsia="zh-CN"/>
              </w:rPr>
              <w:t>1-40 l/min</w:t>
            </w:r>
            <w:r>
              <w:rPr>
                <w:lang w:eastAsia="zh-CN"/>
              </w:rPr>
              <w:t>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</w:t>
            </w:r>
            <w:r>
              <w:rPr>
                <w:lang w:eastAsia="zh-CN"/>
              </w:rPr>
              <w:t>）、高精灌流模式，适用于儿童，</w:t>
            </w:r>
            <w:bookmarkStart w:id="0" w:name="_GoBack"/>
            <w:bookmarkEnd w:id="0"/>
            <w:r>
              <w:rPr>
                <w:lang w:eastAsia="zh-CN"/>
              </w:rPr>
              <w:t>压力调节范围：</w:t>
            </w:r>
            <w:r>
              <w:rPr>
                <w:lang w:eastAsia="zh-CN"/>
              </w:rPr>
              <w:t>1-15mmHg,</w:t>
            </w:r>
            <w:r>
              <w:rPr>
                <w:lang w:eastAsia="zh-CN"/>
              </w:rPr>
              <w:t>流速调节范围：</w:t>
            </w:r>
            <w:r>
              <w:rPr>
                <w:lang w:eastAsia="zh-CN"/>
              </w:rPr>
              <w:t>0.1-15 l/min</w:t>
            </w:r>
            <w:r>
              <w:rPr>
                <w:lang w:eastAsia="zh-CN"/>
              </w:rPr>
              <w:t>，流速调节精度：</w:t>
            </w:r>
            <w:r>
              <w:rPr>
                <w:lang w:eastAsia="zh-CN"/>
              </w:rPr>
              <w:t xml:space="preserve">0.1-2 </w:t>
            </w:r>
            <w:r>
              <w:rPr>
                <w:lang w:eastAsia="zh-CN"/>
              </w:rPr>
              <w:t>l/min</w:t>
            </w:r>
            <w:r>
              <w:rPr>
                <w:lang w:eastAsia="zh-CN"/>
              </w:rPr>
              <w:t>，调节精度</w:t>
            </w:r>
            <w:r>
              <w:rPr>
                <w:lang w:eastAsia="zh-CN"/>
              </w:rPr>
              <w:t>0.1 l/min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>2-10 l/min</w:t>
            </w:r>
            <w:r>
              <w:rPr>
                <w:lang w:eastAsia="zh-CN"/>
              </w:rPr>
              <w:t>，调节精度</w:t>
            </w:r>
            <w:r>
              <w:rPr>
                <w:lang w:eastAsia="zh-CN"/>
              </w:rPr>
              <w:t>0.5 l/min</w:t>
            </w:r>
            <w:r>
              <w:rPr>
                <w:lang w:eastAsia="zh-CN"/>
              </w:rPr>
              <w:t>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</w:t>
            </w:r>
            <w:r>
              <w:rPr>
                <w:lang w:eastAsia="zh-CN"/>
              </w:rPr>
              <w:t>）、</w:t>
            </w:r>
            <w:r>
              <w:rPr>
                <w:lang w:eastAsia="zh-CN"/>
              </w:rPr>
              <w:t>▲</w:t>
            </w:r>
            <w:r>
              <w:rPr>
                <w:lang w:eastAsia="zh-CN"/>
              </w:rPr>
              <w:t>电器安全最高等级</w:t>
            </w:r>
            <w:r>
              <w:rPr>
                <w:lang w:eastAsia="zh-CN"/>
              </w:rPr>
              <w:t>CF</w:t>
            </w:r>
            <w:r>
              <w:rPr>
                <w:lang w:eastAsia="zh-CN"/>
              </w:rPr>
              <w:t>，使用稳定可靠，可用于佩戴心脏起搏器的患者。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</w:tc>
      </w:tr>
      <w:tr w:rsidR="00D920E5">
        <w:tc>
          <w:tcPr>
            <w:tcW w:w="2160" w:type="dxa"/>
          </w:tcPr>
          <w:p w:rsidR="00D920E5" w:rsidRDefault="00571B34">
            <w:r>
              <w:t>2</w:t>
            </w:r>
          </w:p>
        </w:tc>
        <w:tc>
          <w:tcPr>
            <w:tcW w:w="2160" w:type="dxa"/>
          </w:tcPr>
          <w:p w:rsidR="00D920E5" w:rsidRDefault="00571B34">
            <w:r>
              <w:t>主机要求</w:t>
            </w:r>
          </w:p>
        </w:tc>
        <w:tc>
          <w:tcPr>
            <w:tcW w:w="4320" w:type="dxa"/>
            <w:gridSpan w:val="2"/>
          </w:tcPr>
          <w:p w:rsidR="00D920E5" w:rsidRDefault="00571B34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  <w:t>1.2...</w:t>
            </w:r>
            <w:r>
              <w:br/>
            </w:r>
            <w:r>
              <w:br/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D920E5">
        <w:tc>
          <w:tcPr>
            <w:tcW w:w="2160" w:type="dxa"/>
          </w:tcPr>
          <w:p w:rsidR="00D920E5" w:rsidRDefault="00571B34">
            <w:r>
              <w:t>2</w:t>
            </w:r>
          </w:p>
        </w:tc>
        <w:tc>
          <w:tcPr>
            <w:tcW w:w="2160" w:type="dxa"/>
          </w:tcPr>
          <w:p w:rsidR="00D920E5" w:rsidRDefault="00571B34">
            <w:r>
              <w:t>附属设备要求</w:t>
            </w:r>
          </w:p>
        </w:tc>
        <w:tc>
          <w:tcPr>
            <w:tcW w:w="4320" w:type="dxa"/>
            <w:gridSpan w:val="2"/>
          </w:tcPr>
          <w:p w:rsidR="00D920E5" w:rsidRDefault="00571B34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</w:r>
            <w:r>
              <w:lastRenderedPageBreak/>
              <w:t>1.2...</w:t>
            </w:r>
            <w:r>
              <w:br/>
            </w:r>
            <w:r>
              <w:br/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D920E5">
        <w:tc>
          <w:tcPr>
            <w:tcW w:w="8640" w:type="dxa"/>
            <w:gridSpan w:val="4"/>
          </w:tcPr>
          <w:p w:rsidR="00D920E5" w:rsidRDefault="00571B34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注：配置清单需明确数量、单位、且不可涉及产地品牌型号等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D920E5">
        <w:tc>
          <w:tcPr>
            <w:tcW w:w="2160" w:type="dxa"/>
          </w:tcPr>
          <w:p w:rsidR="00D920E5" w:rsidRDefault="00571B34">
            <w:r>
              <w:t>序号</w:t>
            </w:r>
          </w:p>
        </w:tc>
        <w:tc>
          <w:tcPr>
            <w:tcW w:w="2160" w:type="dxa"/>
          </w:tcPr>
          <w:p w:rsidR="00D920E5" w:rsidRDefault="00571B34">
            <w:r>
              <w:t>名称</w:t>
            </w:r>
          </w:p>
        </w:tc>
        <w:tc>
          <w:tcPr>
            <w:tcW w:w="2160" w:type="dxa"/>
          </w:tcPr>
          <w:p w:rsidR="00D920E5" w:rsidRDefault="00571B34">
            <w:r>
              <w:t>单位</w:t>
            </w:r>
          </w:p>
        </w:tc>
        <w:tc>
          <w:tcPr>
            <w:tcW w:w="2160" w:type="dxa"/>
          </w:tcPr>
          <w:p w:rsidR="00D920E5" w:rsidRDefault="00571B34">
            <w:r>
              <w:t>数量</w:t>
            </w:r>
          </w:p>
        </w:tc>
      </w:tr>
      <w:tr w:rsidR="00D920E5">
        <w:tc>
          <w:tcPr>
            <w:tcW w:w="2160" w:type="dxa"/>
          </w:tcPr>
          <w:p w:rsidR="00D920E5" w:rsidRDefault="00571B34">
            <w:r>
              <w:t>1</w:t>
            </w:r>
          </w:p>
        </w:tc>
        <w:tc>
          <w:tcPr>
            <w:tcW w:w="2160" w:type="dxa"/>
          </w:tcPr>
          <w:p w:rsidR="00D920E5" w:rsidRDefault="00571B34">
            <w:r>
              <w:t>0</w:t>
            </w:r>
          </w:p>
        </w:tc>
        <w:tc>
          <w:tcPr>
            <w:tcW w:w="2160" w:type="dxa"/>
          </w:tcPr>
          <w:p w:rsidR="00D920E5" w:rsidRDefault="00571B34">
            <w:r>
              <w:t>0</w:t>
            </w:r>
          </w:p>
        </w:tc>
        <w:tc>
          <w:tcPr>
            <w:tcW w:w="2160" w:type="dxa"/>
          </w:tcPr>
          <w:p w:rsidR="00D920E5" w:rsidRDefault="00571B34">
            <w:r>
              <w:t>0</w:t>
            </w:r>
          </w:p>
        </w:tc>
      </w:tr>
    </w:tbl>
    <w:p w:rsidR="00571B34" w:rsidRDefault="00571B34" w:rsidP="000B31E6"/>
    <w:sectPr w:rsidR="00571B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31E6"/>
    <w:rsid w:val="0015074B"/>
    <w:rsid w:val="0029639D"/>
    <w:rsid w:val="00326F90"/>
    <w:rsid w:val="00571B34"/>
    <w:rsid w:val="00AA1D8D"/>
    <w:rsid w:val="00B47730"/>
    <w:rsid w:val="00CB0664"/>
    <w:rsid w:val="00D920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ACB35-0ACF-4D70-893C-6F6270D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2013-12-23T23:15:00Z</dcterms:created>
  <dcterms:modified xsi:type="dcterms:W3CDTF">2021-08-23T02:57:00Z</dcterms:modified>
  <cp:category/>
</cp:coreProperties>
</file>