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FF" w:rsidRDefault="002A6121">
      <w:r>
        <w:t>一、具体技术要求</w:t>
      </w:r>
    </w:p>
    <w:tbl>
      <w:tblPr>
        <w:tblStyle w:val="af7"/>
        <w:tblW w:w="0" w:type="auto"/>
        <w:tblLook w:val="04A0"/>
      </w:tblPr>
      <w:tblGrid>
        <w:gridCol w:w="2160"/>
        <w:gridCol w:w="2160"/>
        <w:gridCol w:w="2160"/>
        <w:gridCol w:w="2160"/>
      </w:tblGrid>
      <w:tr w:rsidR="00DA18FF">
        <w:tc>
          <w:tcPr>
            <w:tcW w:w="2160" w:type="dxa"/>
          </w:tcPr>
          <w:p w:rsidR="00DA18FF" w:rsidRDefault="002A6121">
            <w:r>
              <w:t>序号</w:t>
            </w:r>
          </w:p>
        </w:tc>
        <w:tc>
          <w:tcPr>
            <w:tcW w:w="2160" w:type="dxa"/>
          </w:tcPr>
          <w:p w:rsidR="00DA18FF" w:rsidRDefault="002A6121">
            <w:r>
              <w:t>货物名称</w:t>
            </w:r>
          </w:p>
        </w:tc>
        <w:tc>
          <w:tcPr>
            <w:tcW w:w="4320" w:type="dxa"/>
            <w:gridSpan w:val="2"/>
          </w:tcPr>
          <w:p w:rsidR="00DA18FF" w:rsidRDefault="002A6121">
            <w:r>
              <w:t>技术要求</w:t>
            </w:r>
          </w:p>
        </w:tc>
      </w:tr>
      <w:tr w:rsidR="00DA18FF">
        <w:tc>
          <w:tcPr>
            <w:tcW w:w="4320" w:type="dxa"/>
            <w:gridSpan w:val="2"/>
          </w:tcPr>
          <w:p w:rsidR="00DA18FF" w:rsidRDefault="002A6121">
            <w:r>
              <w:t>总体要求</w:t>
            </w:r>
          </w:p>
        </w:tc>
        <w:tc>
          <w:tcPr>
            <w:tcW w:w="4320" w:type="dxa"/>
            <w:gridSpan w:val="2"/>
          </w:tcPr>
          <w:p w:rsidR="00DA18FF" w:rsidRDefault="002A6121">
            <w:pPr>
              <w:rPr>
                <w:lang w:eastAsia="zh-CN"/>
              </w:rPr>
            </w:pPr>
            <w:r>
              <w:rPr>
                <w:lang w:eastAsia="zh-CN"/>
              </w:rPr>
              <w:t>要求耐潮湿、抗腐蚀，能在二氧化碳培养箱高温高湿环境下长期正常连续运行，可在外边操控。</w:t>
            </w:r>
          </w:p>
        </w:tc>
      </w:tr>
      <w:tr w:rsidR="00DA18FF">
        <w:tc>
          <w:tcPr>
            <w:tcW w:w="2160" w:type="dxa"/>
          </w:tcPr>
          <w:p w:rsidR="00DA18FF" w:rsidRDefault="002A6121">
            <w:r>
              <w:t>2</w:t>
            </w:r>
          </w:p>
        </w:tc>
        <w:tc>
          <w:tcPr>
            <w:tcW w:w="2160" w:type="dxa"/>
          </w:tcPr>
          <w:p w:rsidR="00DA18FF" w:rsidRDefault="002A6121">
            <w:r>
              <w:t>主机要求</w:t>
            </w:r>
          </w:p>
        </w:tc>
        <w:tc>
          <w:tcPr>
            <w:tcW w:w="4320" w:type="dxa"/>
            <w:gridSpan w:val="2"/>
          </w:tcPr>
          <w:p w:rsidR="00DA18FF" w:rsidRDefault="002A6121">
            <w:r>
              <w:rPr>
                <w:lang w:eastAsia="zh-CN"/>
              </w:rPr>
              <w:t>1. 采用磁力驱动，无需要任何传动皮带。平稳的启动和制动技术，专为细胞培养设计，不会产生高的液体剪切力伤害细胞。</w:t>
            </w:r>
            <w:r>
              <w:rPr>
                <w:lang w:eastAsia="zh-CN"/>
              </w:rPr>
              <w:br/>
            </w:r>
            <w:r>
              <w:rPr>
                <w:lang w:eastAsia="zh-CN"/>
              </w:rPr>
              <w:br/>
              <w:t>2. ▲采用抗菌表面设计，可有效杀灭表面的微生物。</w:t>
            </w:r>
            <w:r>
              <w:rPr>
                <w:lang w:eastAsia="zh-CN"/>
              </w:rPr>
              <w:br/>
            </w:r>
            <w:r>
              <w:rPr>
                <w:lang w:eastAsia="zh-CN"/>
              </w:rPr>
              <w:br/>
              <w:t>3. 驱动电机功率不超过4W，几乎没有任何热量进入培养箱，保证了培养箱中的温度稳定性。</w:t>
            </w:r>
            <w:r>
              <w:rPr>
                <w:lang w:eastAsia="zh-CN"/>
              </w:rPr>
              <w:br/>
            </w:r>
            <w:r>
              <w:rPr>
                <w:lang w:eastAsia="zh-CN"/>
              </w:rPr>
              <w:br/>
              <w:t>4. 触摸按键，控制器可安装在生化培养箱或CO2 培养箱外，客户在改变摇床参数时也不会改变其他培养箱的参数。</w:t>
            </w:r>
            <w:r>
              <w:rPr>
                <w:lang w:eastAsia="zh-CN"/>
              </w:rPr>
              <w:br/>
            </w:r>
            <w:r>
              <w:rPr>
                <w:lang w:eastAsia="zh-CN"/>
              </w:rPr>
              <w:br/>
              <w:t>5. ▲外壳采用聚氨酯和碳纤维复合材质，可避免在高温高湿和二氧化碳环境中长时间使用出现的腐蚀效应。</w:t>
            </w:r>
            <w:r>
              <w:rPr>
                <w:lang w:eastAsia="zh-CN"/>
              </w:rPr>
              <w:br/>
            </w:r>
            <w:r>
              <w:rPr>
                <w:lang w:eastAsia="zh-CN"/>
              </w:rPr>
              <w:br/>
              <w:t>6. 集成在控制器上的声光报警装置，可实时监测培养的情况，确保实验安全。</w:t>
            </w:r>
            <w:r>
              <w:rPr>
                <w:lang w:eastAsia="zh-CN"/>
              </w:rPr>
              <w:br/>
            </w:r>
            <w:r>
              <w:rPr>
                <w:lang w:eastAsia="zh-CN"/>
              </w:rPr>
              <w:br/>
              <w:t>7. 振荡速度控制范围：20~200rpm，控制精度±1%，振幅：25mm；最大承重3.5kg。</w:t>
            </w:r>
            <w:r>
              <w:rPr>
                <w:lang w:eastAsia="zh-CN"/>
              </w:rPr>
              <w:br/>
            </w:r>
            <w:r>
              <w:rPr>
                <w:lang w:eastAsia="zh-CN"/>
              </w:rPr>
              <w:br/>
              <w:t>8. 适合环境温度范围：4℃~60℃（控制器最高使用温度45℃）。</w:t>
            </w:r>
            <w:r>
              <w:rPr>
                <w:lang w:eastAsia="zh-CN"/>
              </w:rPr>
              <w:br/>
            </w:r>
            <w:r>
              <w:rPr>
                <w:lang w:eastAsia="zh-CN"/>
              </w:rPr>
              <w:br/>
              <w:t>9. 适合环境湿度范围：最高98%rH(未凝结)（控制器最高60%rH）。</w:t>
            </w:r>
            <w:r>
              <w:rPr>
                <w:lang w:eastAsia="zh-CN"/>
              </w:rPr>
              <w:br/>
            </w:r>
            <w:r>
              <w:rPr>
                <w:lang w:eastAsia="zh-CN"/>
              </w:rPr>
              <w:br/>
              <w:t>10. ▲粘性托板：无需任何夹具，可以直接将各种规格的锥形瓶固定在托板上。</w:t>
            </w:r>
            <w:r>
              <w:rPr>
                <w:lang w:eastAsia="zh-CN"/>
              </w:rPr>
              <w:br/>
            </w:r>
            <w:r>
              <w:rPr>
                <w:lang w:eastAsia="zh-CN"/>
              </w:rPr>
              <w:br/>
              <w:t>11. 托盘尺寸：大于</w:t>
            </w:r>
            <w:r w:rsidR="00755FE9">
              <w:rPr>
                <w:rFonts w:hint="eastAsia"/>
                <w:lang w:eastAsia="zh-CN"/>
              </w:rPr>
              <w:t>或等于</w:t>
            </w:r>
            <w:r>
              <w:rPr>
                <w:lang w:eastAsia="zh-CN"/>
              </w:rPr>
              <w:t>400×330 mm。</w:t>
            </w:r>
            <w:r>
              <w:rPr>
                <w:lang w:eastAsia="zh-CN"/>
              </w:rPr>
              <w:br/>
            </w:r>
            <w:r>
              <w:rPr>
                <w:lang w:eastAsia="zh-CN"/>
              </w:rPr>
              <w:br/>
              <w:t>12. 仪器尺寸：大于</w:t>
            </w:r>
            <w:r w:rsidR="00755FE9">
              <w:rPr>
                <w:rFonts w:hint="eastAsia"/>
                <w:lang w:eastAsia="zh-CN"/>
              </w:rPr>
              <w:t>或等于</w:t>
            </w:r>
            <w:bookmarkStart w:id="0" w:name="_GoBack"/>
            <w:bookmarkEnd w:id="0"/>
            <w:r>
              <w:rPr>
                <w:lang w:eastAsia="zh-CN"/>
              </w:rPr>
              <w:lastRenderedPageBreak/>
              <w:t>380×450×90mm。</w:t>
            </w:r>
            <w:r>
              <w:rPr>
                <w:lang w:eastAsia="zh-CN"/>
              </w:rPr>
              <w:br/>
            </w:r>
            <w:r>
              <w:rPr>
                <w:lang w:eastAsia="zh-CN"/>
              </w:rPr>
              <w:br/>
              <w:t>13. 粘性托盘摆放容量（锥形瓶规格/数量）250ml大于12个，或者1000ml 大于5个。</w:t>
            </w:r>
            <w:r>
              <w:rPr>
                <w:lang w:eastAsia="zh-CN"/>
              </w:rPr>
              <w:br/>
            </w:r>
            <w:r>
              <w:rPr>
                <w:lang w:eastAsia="zh-CN"/>
              </w:rPr>
              <w:br/>
            </w:r>
            <w:r>
              <w:t>14. 配置：主机1台，粘性托板1个。</w:t>
            </w:r>
          </w:p>
        </w:tc>
      </w:tr>
      <w:tr w:rsidR="00DA18FF">
        <w:tc>
          <w:tcPr>
            <w:tcW w:w="2160" w:type="dxa"/>
          </w:tcPr>
          <w:p w:rsidR="00DA18FF" w:rsidRDefault="002A6121">
            <w:r>
              <w:lastRenderedPageBreak/>
              <w:t>2</w:t>
            </w:r>
          </w:p>
        </w:tc>
        <w:tc>
          <w:tcPr>
            <w:tcW w:w="2160" w:type="dxa"/>
          </w:tcPr>
          <w:p w:rsidR="00DA18FF" w:rsidRDefault="002A6121">
            <w:r>
              <w:t>附属设备要求</w:t>
            </w:r>
          </w:p>
        </w:tc>
        <w:tc>
          <w:tcPr>
            <w:tcW w:w="4320" w:type="dxa"/>
            <w:gridSpan w:val="2"/>
          </w:tcPr>
          <w:p w:rsidR="00DA18FF" w:rsidRDefault="002A6121">
            <w:r>
              <w:t>1.1...</w:t>
            </w:r>
            <w:r>
              <w:br/>
            </w:r>
            <w:r>
              <w:br/>
              <w:t>1.1.1...</w:t>
            </w:r>
            <w:r>
              <w:br/>
            </w:r>
            <w:r>
              <w:br/>
              <w:t>1.2...</w:t>
            </w:r>
            <w:r>
              <w:br/>
            </w:r>
            <w:r>
              <w:br/>
              <w:t>1.2.1...</w:t>
            </w:r>
            <w:r>
              <w:br/>
            </w:r>
            <w:r>
              <w:br/>
              <w:t>1.3...</w:t>
            </w:r>
            <w:r>
              <w:br/>
            </w:r>
            <w:r>
              <w:br/>
              <w:t>1.3.1...</w:t>
            </w:r>
          </w:p>
        </w:tc>
      </w:tr>
      <w:tr w:rsidR="00DA18FF">
        <w:tc>
          <w:tcPr>
            <w:tcW w:w="8640" w:type="dxa"/>
            <w:gridSpan w:val="4"/>
          </w:tcPr>
          <w:p w:rsidR="00DA18FF" w:rsidRDefault="002A6121">
            <w:pPr>
              <w:rPr>
                <w:lang w:eastAsia="zh-CN"/>
              </w:rPr>
            </w:pPr>
            <w:r>
              <w:rPr>
                <w:lang w:eastAsia="zh-CN"/>
              </w:rPr>
              <w:t>配置清单 (注：配置清单需明确数量、单位、且不可涉及产地品牌型号等)</w:t>
            </w:r>
          </w:p>
        </w:tc>
      </w:tr>
      <w:tr w:rsidR="00DA18FF">
        <w:tc>
          <w:tcPr>
            <w:tcW w:w="2160" w:type="dxa"/>
          </w:tcPr>
          <w:p w:rsidR="00DA18FF" w:rsidRDefault="002A6121">
            <w:r>
              <w:t>序号</w:t>
            </w:r>
          </w:p>
        </w:tc>
        <w:tc>
          <w:tcPr>
            <w:tcW w:w="2160" w:type="dxa"/>
          </w:tcPr>
          <w:p w:rsidR="00DA18FF" w:rsidRDefault="002A6121">
            <w:r>
              <w:t>名称</w:t>
            </w:r>
          </w:p>
        </w:tc>
        <w:tc>
          <w:tcPr>
            <w:tcW w:w="2160" w:type="dxa"/>
          </w:tcPr>
          <w:p w:rsidR="00DA18FF" w:rsidRDefault="002A6121">
            <w:r>
              <w:t>单位</w:t>
            </w:r>
          </w:p>
        </w:tc>
        <w:tc>
          <w:tcPr>
            <w:tcW w:w="2160" w:type="dxa"/>
          </w:tcPr>
          <w:p w:rsidR="00DA18FF" w:rsidRDefault="002A6121">
            <w:r>
              <w:t>数量</w:t>
            </w:r>
          </w:p>
        </w:tc>
      </w:tr>
      <w:tr w:rsidR="00DA18FF">
        <w:tc>
          <w:tcPr>
            <w:tcW w:w="2160" w:type="dxa"/>
          </w:tcPr>
          <w:p w:rsidR="00DA18FF" w:rsidRDefault="002A6121">
            <w:r>
              <w:t>1</w:t>
            </w:r>
          </w:p>
        </w:tc>
        <w:tc>
          <w:tcPr>
            <w:tcW w:w="2160" w:type="dxa"/>
          </w:tcPr>
          <w:p w:rsidR="00DA18FF" w:rsidRDefault="002A6121">
            <w:r>
              <w:t>主机</w:t>
            </w:r>
          </w:p>
        </w:tc>
        <w:tc>
          <w:tcPr>
            <w:tcW w:w="2160" w:type="dxa"/>
          </w:tcPr>
          <w:p w:rsidR="00DA18FF" w:rsidRDefault="002A6121">
            <w:r>
              <w:t>台</w:t>
            </w:r>
          </w:p>
        </w:tc>
        <w:tc>
          <w:tcPr>
            <w:tcW w:w="2160" w:type="dxa"/>
          </w:tcPr>
          <w:p w:rsidR="00DA18FF" w:rsidRDefault="002A6121">
            <w:r>
              <w:t>1</w:t>
            </w:r>
          </w:p>
        </w:tc>
      </w:tr>
      <w:tr w:rsidR="00DA18FF">
        <w:tc>
          <w:tcPr>
            <w:tcW w:w="2160" w:type="dxa"/>
          </w:tcPr>
          <w:p w:rsidR="00DA18FF" w:rsidRDefault="002A6121">
            <w:r>
              <w:t>2</w:t>
            </w:r>
          </w:p>
        </w:tc>
        <w:tc>
          <w:tcPr>
            <w:tcW w:w="2160" w:type="dxa"/>
          </w:tcPr>
          <w:p w:rsidR="00DA18FF" w:rsidRDefault="002A6121">
            <w:r>
              <w:t>粘性托板</w:t>
            </w:r>
          </w:p>
        </w:tc>
        <w:tc>
          <w:tcPr>
            <w:tcW w:w="2160" w:type="dxa"/>
          </w:tcPr>
          <w:p w:rsidR="00DA18FF" w:rsidRDefault="002A6121">
            <w:r>
              <w:t>个</w:t>
            </w:r>
          </w:p>
        </w:tc>
        <w:tc>
          <w:tcPr>
            <w:tcW w:w="2160" w:type="dxa"/>
          </w:tcPr>
          <w:p w:rsidR="00DA18FF" w:rsidRDefault="002A6121">
            <w:r>
              <w:t>1</w:t>
            </w:r>
          </w:p>
        </w:tc>
      </w:tr>
    </w:tbl>
    <w:p w:rsidR="00DA18FF" w:rsidRDefault="002A6121">
      <w:r>
        <w:t>二、商务条款</w:t>
      </w:r>
    </w:p>
    <w:tbl>
      <w:tblPr>
        <w:tblStyle w:val="af7"/>
        <w:tblW w:w="0" w:type="auto"/>
        <w:tblLook w:val="04A0"/>
      </w:tblPr>
      <w:tblGrid>
        <w:gridCol w:w="1440"/>
        <w:gridCol w:w="1440"/>
        <w:gridCol w:w="1440"/>
        <w:gridCol w:w="1440"/>
        <w:gridCol w:w="1440"/>
        <w:gridCol w:w="1440"/>
      </w:tblGrid>
      <w:tr w:rsidR="00DA18FF">
        <w:tc>
          <w:tcPr>
            <w:tcW w:w="2880" w:type="dxa"/>
            <w:gridSpan w:val="2"/>
          </w:tcPr>
          <w:p w:rsidR="00DA18FF" w:rsidRDefault="002A6121">
            <w:r>
              <w:t>序号</w:t>
            </w:r>
          </w:p>
        </w:tc>
        <w:tc>
          <w:tcPr>
            <w:tcW w:w="2880" w:type="dxa"/>
            <w:gridSpan w:val="2"/>
          </w:tcPr>
          <w:p w:rsidR="00DA18FF" w:rsidRDefault="002A6121">
            <w:r>
              <w:t>目录</w:t>
            </w:r>
          </w:p>
        </w:tc>
        <w:tc>
          <w:tcPr>
            <w:tcW w:w="2880" w:type="dxa"/>
            <w:gridSpan w:val="2"/>
          </w:tcPr>
          <w:p w:rsidR="00DA18FF" w:rsidRDefault="002A6121">
            <w:r>
              <w:t>商务要求</w:t>
            </w:r>
          </w:p>
        </w:tc>
      </w:tr>
      <w:tr w:rsidR="00DA18FF">
        <w:tc>
          <w:tcPr>
            <w:tcW w:w="8640" w:type="dxa"/>
            <w:gridSpan w:val="6"/>
          </w:tcPr>
          <w:p w:rsidR="00DA18FF" w:rsidRDefault="002A6121">
            <w:pPr>
              <w:rPr>
                <w:lang w:eastAsia="zh-CN"/>
              </w:rPr>
            </w:pPr>
            <w:r>
              <w:rPr>
                <w:lang w:eastAsia="zh-CN"/>
              </w:rPr>
              <w:t>（一）免费保修期内售后服务要求</w:t>
            </w:r>
          </w:p>
        </w:tc>
      </w:tr>
      <w:tr w:rsidR="00DA18FF">
        <w:tc>
          <w:tcPr>
            <w:tcW w:w="2880" w:type="dxa"/>
            <w:gridSpan w:val="2"/>
            <w:vMerge w:val="restart"/>
          </w:tcPr>
          <w:p w:rsidR="00DA18FF" w:rsidRDefault="002A6121">
            <w:r>
              <w:t>1</w:t>
            </w:r>
          </w:p>
        </w:tc>
        <w:tc>
          <w:tcPr>
            <w:tcW w:w="2880" w:type="dxa"/>
            <w:gridSpan w:val="2"/>
            <w:vMerge w:val="restart"/>
          </w:tcPr>
          <w:p w:rsidR="00DA18FF" w:rsidRDefault="002A6121">
            <w:r>
              <w:t>维修及维护服务</w:t>
            </w:r>
          </w:p>
        </w:tc>
        <w:tc>
          <w:tcPr>
            <w:tcW w:w="2880" w:type="dxa"/>
            <w:gridSpan w:val="2"/>
          </w:tcPr>
          <w:p w:rsidR="00DA18FF" w:rsidRDefault="002A6121">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1.2</w:t>
            </w:r>
            <w:r w:rsidRPr="00915106">
              <w:rPr>
                <w:highlight w:val="yellow"/>
                <w:lang w:eastAsia="zh-CN"/>
              </w:rPr>
              <w:t>免费保修期</w:t>
            </w:r>
            <w:r w:rsidR="004F6E3A" w:rsidRPr="00915106">
              <w:rPr>
                <w:rFonts w:hint="eastAsia"/>
                <w:highlight w:val="yellow"/>
                <w:lang w:eastAsia="zh-CN"/>
              </w:rPr>
              <w:t>三年</w:t>
            </w:r>
            <w:r w:rsidRPr="00915106">
              <w:rPr>
                <w:highlight w:val="yellow"/>
                <w:lang w:eastAsia="zh-CN"/>
              </w:rPr>
              <w:t>,</w:t>
            </w:r>
            <w:r w:rsidR="004F6E3A" w:rsidRPr="00915106">
              <w:rPr>
                <w:rFonts w:hint="eastAsia"/>
                <w:highlight w:val="yellow"/>
                <w:lang w:eastAsia="zh-CN"/>
              </w:rPr>
              <w:t>在保修期内</w:t>
            </w:r>
            <w:r>
              <w:rPr>
                <w:lang w:eastAsia="zh-CN"/>
              </w:rPr>
              <w:t>年度定期预防性维护保养次数应不少于 4 次。保修期内免费更换零配件、免工时费。每次预防性维护保养后应出具符合厂家标准的保养记录，每年度提供符合厂家技术标准或第三方认可的质控报告。</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1.3由设备制造商提供售后服务，4 小时内响应，24 小时维修到位（不可抗力情</w:t>
            </w:r>
            <w:r>
              <w:rPr>
                <w:lang w:eastAsia="zh-CN"/>
              </w:rPr>
              <w:lastRenderedPageBreak/>
              <w:t>况除外）。消耗品和零配件供应及时，特殊情况下可提供备用机。</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DA18FF">
        <w:tc>
          <w:tcPr>
            <w:tcW w:w="2880" w:type="dxa"/>
            <w:gridSpan w:val="2"/>
          </w:tcPr>
          <w:p w:rsidR="00DA18FF" w:rsidRDefault="002A6121">
            <w:r>
              <w:t>2</w:t>
            </w:r>
          </w:p>
        </w:tc>
        <w:tc>
          <w:tcPr>
            <w:tcW w:w="2880" w:type="dxa"/>
            <w:gridSpan w:val="2"/>
          </w:tcPr>
          <w:p w:rsidR="00DA18FF" w:rsidRDefault="002A6121">
            <w:r>
              <w:t>质量保证</w:t>
            </w:r>
          </w:p>
        </w:tc>
        <w:tc>
          <w:tcPr>
            <w:tcW w:w="2880" w:type="dxa"/>
            <w:gridSpan w:val="2"/>
          </w:tcPr>
          <w:p w:rsidR="00DA18FF" w:rsidRDefault="002A6121">
            <w:r>
              <w:rPr>
                <w:lang w:eastAsia="zh-CN"/>
              </w:rP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w:t>
            </w:r>
            <w:r>
              <w:t>注：年开机率=（365-停机天数）/365）</w:t>
            </w:r>
          </w:p>
        </w:tc>
      </w:tr>
      <w:tr w:rsidR="00DA18FF">
        <w:tc>
          <w:tcPr>
            <w:tcW w:w="8640" w:type="dxa"/>
            <w:gridSpan w:val="6"/>
          </w:tcPr>
          <w:p w:rsidR="00DA18FF" w:rsidRDefault="002A6121">
            <w:pPr>
              <w:rPr>
                <w:lang w:eastAsia="zh-CN"/>
              </w:rPr>
            </w:pPr>
            <w:r>
              <w:rPr>
                <w:lang w:eastAsia="zh-CN"/>
              </w:rPr>
              <w:t>（二）免费保修期外售后服务要求</w:t>
            </w:r>
          </w:p>
        </w:tc>
      </w:tr>
      <w:tr w:rsidR="00DA18FF">
        <w:tc>
          <w:tcPr>
            <w:tcW w:w="2880" w:type="dxa"/>
            <w:gridSpan w:val="2"/>
            <w:vMerge w:val="restart"/>
          </w:tcPr>
          <w:p w:rsidR="00DA18FF" w:rsidRDefault="002A6121">
            <w:r>
              <w:t>1</w:t>
            </w:r>
          </w:p>
        </w:tc>
        <w:tc>
          <w:tcPr>
            <w:tcW w:w="2880" w:type="dxa"/>
            <w:gridSpan w:val="2"/>
            <w:vMerge w:val="restart"/>
          </w:tcPr>
          <w:p w:rsidR="00DA18FF" w:rsidRDefault="002A6121">
            <w:r>
              <w:t>服务内容及要求</w:t>
            </w:r>
          </w:p>
        </w:tc>
        <w:tc>
          <w:tcPr>
            <w:tcW w:w="2880" w:type="dxa"/>
            <w:gridSpan w:val="2"/>
          </w:tcPr>
          <w:p w:rsidR="00DA18FF" w:rsidRDefault="002A6121">
            <w:pPr>
              <w:rPr>
                <w:lang w:eastAsia="zh-CN"/>
              </w:rPr>
            </w:pPr>
            <w:r>
              <w:rPr>
                <w:lang w:eastAsia="zh-CN"/>
              </w:rPr>
              <w:t>1.1由设备制造商提供售后服务，4小时内响应，24小时维修到位（不可抗力情况除外）。消耗品和零配件供应及时，特殊情况下可提供备用机。</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1.3维修的货物经采购人验</w:t>
            </w:r>
            <w:r>
              <w:rPr>
                <w:lang w:eastAsia="zh-CN"/>
              </w:rPr>
              <w:lastRenderedPageBreak/>
              <w:t>收合格，且设备制造商提供维修专用发票后，采购人支付维修费用。</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rsidR="00DA18FF">
        <w:tc>
          <w:tcPr>
            <w:tcW w:w="8640" w:type="dxa"/>
            <w:gridSpan w:val="6"/>
          </w:tcPr>
          <w:p w:rsidR="00DA18FF" w:rsidRDefault="002A6121">
            <w:r>
              <w:t>（三）其他商务要求</w:t>
            </w:r>
          </w:p>
        </w:tc>
      </w:tr>
      <w:tr w:rsidR="00DA18FF">
        <w:tc>
          <w:tcPr>
            <w:tcW w:w="2880" w:type="dxa"/>
            <w:gridSpan w:val="2"/>
            <w:vMerge w:val="restart"/>
          </w:tcPr>
          <w:p w:rsidR="00DA18FF" w:rsidRDefault="002A6121">
            <w:r>
              <w:t>1</w:t>
            </w:r>
          </w:p>
        </w:tc>
        <w:tc>
          <w:tcPr>
            <w:tcW w:w="2880" w:type="dxa"/>
            <w:gridSpan w:val="2"/>
            <w:vMerge w:val="restart"/>
          </w:tcPr>
          <w:p w:rsidR="00DA18FF" w:rsidRDefault="002A6121">
            <w:r>
              <w:t>交货条件</w:t>
            </w:r>
          </w:p>
        </w:tc>
        <w:tc>
          <w:tcPr>
            <w:tcW w:w="2880" w:type="dxa"/>
            <w:gridSpan w:val="2"/>
          </w:tcPr>
          <w:p w:rsidR="00DA18FF" w:rsidRDefault="002A6121">
            <w:pPr>
              <w:rPr>
                <w:lang w:eastAsia="zh-CN"/>
              </w:rPr>
            </w:pPr>
            <w:r>
              <w:rPr>
                <w:lang w:eastAsia="zh-CN"/>
              </w:rPr>
              <w:t>★1.1投标人在签订合同之日起 30日历日内交货并安装调试完毕，交付采购人验收。</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1.2签订合同后，如涉及机房装修改造，需立即向医院出具机房装修要求的各种资料。</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r>
              <w:rPr>
                <w:lang w:eastAsia="zh-CN"/>
              </w:rPr>
              <w:t>1.3投标人应提供货物的技术文件，包括但不限于设备配置清单、产品说明书、图纸、操作手册、维护手册（含维修密码及接口数据）、质量保证文件、服务指南等，所有外文资料须提供中文译本。</w:t>
            </w:r>
            <w:r>
              <w:t>文件应随货物一并交付至采购人指定地点。</w:t>
            </w:r>
          </w:p>
        </w:tc>
      </w:tr>
      <w:tr w:rsidR="00DA18FF">
        <w:tc>
          <w:tcPr>
            <w:tcW w:w="2880" w:type="dxa"/>
            <w:gridSpan w:val="2"/>
            <w:vMerge/>
          </w:tcPr>
          <w:p w:rsidR="00DA18FF" w:rsidRDefault="00DA18FF"/>
        </w:tc>
        <w:tc>
          <w:tcPr>
            <w:tcW w:w="2880" w:type="dxa"/>
            <w:gridSpan w:val="2"/>
            <w:vMerge/>
          </w:tcPr>
          <w:p w:rsidR="00DA18FF" w:rsidRDefault="00DA18FF"/>
        </w:tc>
        <w:tc>
          <w:tcPr>
            <w:tcW w:w="2880" w:type="dxa"/>
            <w:gridSpan w:val="2"/>
          </w:tcPr>
          <w:p w:rsidR="00DA18FF" w:rsidRDefault="002A6121">
            <w:pPr>
              <w:rPr>
                <w:lang w:eastAsia="zh-CN"/>
              </w:rPr>
            </w:pPr>
            <w:r>
              <w:rPr>
                <w:lang w:eastAsia="zh-CN"/>
              </w:rPr>
              <w:t>1.4提供的货物必须为全新、经检验合格的产品。产品如需要计量检定的应提供相关计量检定部门出具的合法检定报告。其中，进口设备必须具有报关证明文件、</w:t>
            </w:r>
            <w:r>
              <w:rPr>
                <w:lang w:eastAsia="zh-CN"/>
              </w:rPr>
              <w:lastRenderedPageBreak/>
              <w:t>原产地证明和商检合格证明文件。</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DA18FF">
            <w:pPr>
              <w:rPr>
                <w:lang w:eastAsia="zh-CN"/>
              </w:rPr>
            </w:pPr>
          </w:p>
        </w:tc>
      </w:tr>
      <w:tr w:rsidR="00DA18FF">
        <w:tc>
          <w:tcPr>
            <w:tcW w:w="2880" w:type="dxa"/>
            <w:gridSpan w:val="2"/>
            <w:vMerge w:val="restart"/>
          </w:tcPr>
          <w:p w:rsidR="00DA18FF" w:rsidRDefault="002A6121">
            <w:r>
              <w:t>2</w:t>
            </w:r>
          </w:p>
        </w:tc>
        <w:tc>
          <w:tcPr>
            <w:tcW w:w="2880" w:type="dxa"/>
            <w:gridSpan w:val="2"/>
            <w:vMerge w:val="restart"/>
          </w:tcPr>
          <w:p w:rsidR="00DA18FF" w:rsidRDefault="002A6121">
            <w:r>
              <w:t>运输、安装和验收</w:t>
            </w:r>
          </w:p>
        </w:tc>
        <w:tc>
          <w:tcPr>
            <w:tcW w:w="2880" w:type="dxa"/>
            <w:gridSpan w:val="2"/>
          </w:tcPr>
          <w:p w:rsidR="00DA18FF" w:rsidRDefault="002A6121">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2.4由投标人代表和采购人组成验收小组对产品进行验收。验收标准按照国家规定标准执行。经检验设备正常运作后签署验收报告,产品</w:t>
            </w:r>
            <w:r>
              <w:rPr>
                <w:lang w:eastAsia="zh-CN"/>
              </w:rPr>
              <w:lastRenderedPageBreak/>
              <w:t>保修期自验收合格之日起算。</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2.5设备安装过程中不得破坏已有设备、器具和装修，如有损坏，需无条件恢复原状。</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2.7医疗设备的包装箱使用后由中标（成交）供应商负责处理。</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2.8废气排放、排污等接口无条件改造为医院已有标准和制式。</w:t>
            </w:r>
          </w:p>
        </w:tc>
      </w:tr>
      <w:tr w:rsidR="00DA18FF">
        <w:tc>
          <w:tcPr>
            <w:tcW w:w="2880" w:type="dxa"/>
            <w:gridSpan w:val="2"/>
          </w:tcPr>
          <w:p w:rsidR="00DA18FF" w:rsidRDefault="00DA18FF">
            <w:pPr>
              <w:rPr>
                <w:lang w:eastAsia="zh-CN"/>
              </w:rPr>
            </w:pPr>
          </w:p>
        </w:tc>
        <w:tc>
          <w:tcPr>
            <w:tcW w:w="2880" w:type="dxa"/>
            <w:gridSpan w:val="2"/>
          </w:tcPr>
          <w:p w:rsidR="00DA18FF" w:rsidRDefault="00DA18FF">
            <w:pPr>
              <w:rPr>
                <w:lang w:eastAsia="zh-CN"/>
              </w:rPr>
            </w:pPr>
          </w:p>
        </w:tc>
        <w:tc>
          <w:tcPr>
            <w:tcW w:w="2880" w:type="dxa"/>
            <w:gridSpan w:val="2"/>
          </w:tcPr>
          <w:p w:rsidR="00DA18FF" w:rsidRDefault="00DA18FF">
            <w:pPr>
              <w:rPr>
                <w:lang w:eastAsia="zh-CN"/>
              </w:rPr>
            </w:pPr>
          </w:p>
        </w:tc>
      </w:tr>
      <w:tr w:rsidR="00DA18FF">
        <w:tc>
          <w:tcPr>
            <w:tcW w:w="2880" w:type="dxa"/>
            <w:gridSpan w:val="2"/>
          </w:tcPr>
          <w:p w:rsidR="00DA18FF" w:rsidRDefault="002A6121">
            <w:r>
              <w:t>3</w:t>
            </w:r>
          </w:p>
        </w:tc>
        <w:tc>
          <w:tcPr>
            <w:tcW w:w="2880" w:type="dxa"/>
            <w:gridSpan w:val="2"/>
          </w:tcPr>
          <w:p w:rsidR="00DA18FF" w:rsidRDefault="002A6121">
            <w:r>
              <w:t>培训</w:t>
            </w:r>
          </w:p>
        </w:tc>
        <w:tc>
          <w:tcPr>
            <w:tcW w:w="2880" w:type="dxa"/>
            <w:gridSpan w:val="2"/>
          </w:tcPr>
          <w:p w:rsidR="00DA18FF" w:rsidRDefault="002A6121">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DA18FF">
        <w:tc>
          <w:tcPr>
            <w:tcW w:w="2880" w:type="dxa"/>
            <w:gridSpan w:val="2"/>
            <w:vMerge w:val="restart"/>
          </w:tcPr>
          <w:p w:rsidR="00DA18FF" w:rsidRDefault="002A6121">
            <w:r>
              <w:t>4</w:t>
            </w:r>
          </w:p>
        </w:tc>
        <w:tc>
          <w:tcPr>
            <w:tcW w:w="2880" w:type="dxa"/>
            <w:gridSpan w:val="2"/>
            <w:vMerge w:val="restart"/>
          </w:tcPr>
          <w:p w:rsidR="00DA18FF" w:rsidRDefault="002A6121">
            <w:r>
              <w:t>知识产权</w:t>
            </w:r>
          </w:p>
        </w:tc>
        <w:tc>
          <w:tcPr>
            <w:tcW w:w="2880" w:type="dxa"/>
            <w:gridSpan w:val="2"/>
          </w:tcPr>
          <w:p w:rsidR="00DA18FF" w:rsidRDefault="002A6121">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4.2采购人购买产品后，有权对该产品与其他设备进行配套、整合或适当改进，而免受侵犯专利权的起诉。</w:t>
            </w:r>
          </w:p>
        </w:tc>
      </w:tr>
      <w:tr w:rsidR="00DA18FF">
        <w:tc>
          <w:tcPr>
            <w:tcW w:w="2880" w:type="dxa"/>
            <w:gridSpan w:val="2"/>
          </w:tcPr>
          <w:p w:rsidR="00DA18FF" w:rsidRDefault="002A6121">
            <w:r>
              <w:t>5</w:t>
            </w:r>
          </w:p>
        </w:tc>
        <w:tc>
          <w:tcPr>
            <w:tcW w:w="2880" w:type="dxa"/>
            <w:gridSpan w:val="2"/>
          </w:tcPr>
          <w:p w:rsidR="00DA18FF" w:rsidRDefault="002A6121">
            <w:r>
              <w:t>付款方式</w:t>
            </w:r>
          </w:p>
        </w:tc>
        <w:tc>
          <w:tcPr>
            <w:tcW w:w="2880" w:type="dxa"/>
            <w:gridSpan w:val="2"/>
          </w:tcPr>
          <w:p w:rsidR="00DA18FF" w:rsidRDefault="002A6121">
            <w:pPr>
              <w:rPr>
                <w:lang w:eastAsia="zh-CN"/>
              </w:rPr>
            </w:pPr>
            <w:r>
              <w:rPr>
                <w:lang w:eastAsia="zh-CN"/>
              </w:rPr>
              <w:t>5.1产品安装、调试完毕并</w:t>
            </w:r>
            <w:r>
              <w:rPr>
                <w:lang w:eastAsia="zh-CN"/>
              </w:rPr>
              <w:lastRenderedPageBreak/>
              <w:t>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DA18FF">
        <w:tc>
          <w:tcPr>
            <w:tcW w:w="2880" w:type="dxa"/>
            <w:gridSpan w:val="2"/>
            <w:vMerge w:val="restart"/>
          </w:tcPr>
          <w:p w:rsidR="00DA18FF" w:rsidRDefault="002A6121">
            <w:r>
              <w:lastRenderedPageBreak/>
              <w:t>6</w:t>
            </w:r>
          </w:p>
        </w:tc>
        <w:tc>
          <w:tcPr>
            <w:tcW w:w="2880" w:type="dxa"/>
            <w:gridSpan w:val="2"/>
            <w:vMerge w:val="restart"/>
          </w:tcPr>
          <w:p w:rsidR="00DA18FF" w:rsidRDefault="002A6121">
            <w:r>
              <w:t>违约责任</w:t>
            </w:r>
          </w:p>
        </w:tc>
        <w:tc>
          <w:tcPr>
            <w:tcW w:w="2880" w:type="dxa"/>
            <w:gridSpan w:val="2"/>
          </w:tcPr>
          <w:p w:rsidR="00DA18FF" w:rsidRDefault="002A6121">
            <w:pPr>
              <w:rPr>
                <w:lang w:eastAsia="zh-CN"/>
              </w:rPr>
            </w:pPr>
            <w:r>
              <w:rPr>
                <w:lang w:eastAsia="zh-CN"/>
              </w:rPr>
              <w:t>6.1中标人不能交货的，需偿付不能交货部分货款的  10% 的违约金并按主管部门相关规定处理。</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6.2中标人逾期交货的，将被没收履约保证金并按主管部门相关规定处理。</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2A6121">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DA18FF">
            <w:pPr>
              <w:rPr>
                <w:lang w:eastAsia="zh-CN"/>
              </w:rPr>
            </w:pPr>
          </w:p>
        </w:tc>
      </w:tr>
      <w:tr w:rsidR="00DA18FF">
        <w:tc>
          <w:tcPr>
            <w:tcW w:w="2880" w:type="dxa"/>
            <w:gridSpan w:val="2"/>
            <w:vMerge/>
          </w:tcPr>
          <w:p w:rsidR="00DA18FF" w:rsidRDefault="00DA18FF">
            <w:pPr>
              <w:rPr>
                <w:lang w:eastAsia="zh-CN"/>
              </w:rPr>
            </w:pPr>
          </w:p>
        </w:tc>
        <w:tc>
          <w:tcPr>
            <w:tcW w:w="2880" w:type="dxa"/>
            <w:gridSpan w:val="2"/>
            <w:vMerge/>
          </w:tcPr>
          <w:p w:rsidR="00DA18FF" w:rsidRDefault="00DA18FF">
            <w:pPr>
              <w:rPr>
                <w:lang w:eastAsia="zh-CN"/>
              </w:rPr>
            </w:pPr>
          </w:p>
        </w:tc>
        <w:tc>
          <w:tcPr>
            <w:tcW w:w="2880" w:type="dxa"/>
            <w:gridSpan w:val="2"/>
          </w:tcPr>
          <w:p w:rsidR="00DA18FF" w:rsidRDefault="00DA18FF">
            <w:pPr>
              <w:rPr>
                <w:lang w:eastAsia="zh-CN"/>
              </w:rPr>
            </w:pPr>
          </w:p>
        </w:tc>
      </w:tr>
      <w:tr w:rsidR="00DA18FF">
        <w:tc>
          <w:tcPr>
            <w:tcW w:w="2880" w:type="dxa"/>
            <w:gridSpan w:val="2"/>
          </w:tcPr>
          <w:p w:rsidR="00DA18FF" w:rsidRDefault="002A6121">
            <w:r>
              <w:t>7</w:t>
            </w:r>
          </w:p>
        </w:tc>
        <w:tc>
          <w:tcPr>
            <w:tcW w:w="2880" w:type="dxa"/>
            <w:gridSpan w:val="2"/>
          </w:tcPr>
          <w:p w:rsidR="00DA18FF" w:rsidRDefault="002A6121">
            <w:r>
              <w:t>数据接口要求</w:t>
            </w:r>
          </w:p>
        </w:tc>
        <w:tc>
          <w:tcPr>
            <w:tcW w:w="2880" w:type="dxa"/>
            <w:gridSpan w:val="2"/>
          </w:tcPr>
          <w:p w:rsidR="00DA18FF" w:rsidRDefault="002A6121">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DA18FF">
        <w:tc>
          <w:tcPr>
            <w:tcW w:w="2880" w:type="dxa"/>
            <w:gridSpan w:val="2"/>
          </w:tcPr>
          <w:p w:rsidR="00DA18FF" w:rsidRDefault="002A6121">
            <w:r>
              <w:t>8</w:t>
            </w:r>
          </w:p>
        </w:tc>
        <w:tc>
          <w:tcPr>
            <w:tcW w:w="2880" w:type="dxa"/>
            <w:gridSpan w:val="2"/>
          </w:tcPr>
          <w:p w:rsidR="00DA18FF" w:rsidRDefault="002A6121">
            <w:r>
              <w:t>其他</w:t>
            </w:r>
          </w:p>
        </w:tc>
        <w:tc>
          <w:tcPr>
            <w:tcW w:w="2880" w:type="dxa"/>
            <w:gridSpan w:val="2"/>
          </w:tcPr>
          <w:p w:rsidR="00DA18FF" w:rsidRDefault="002A6121">
            <w:pPr>
              <w:rPr>
                <w:lang w:eastAsia="zh-CN"/>
              </w:rPr>
            </w:pPr>
            <w:r>
              <w:rPr>
                <w:lang w:eastAsia="zh-CN"/>
              </w:rPr>
              <w:t>8.1投标人应按其投标文件中的承诺，进行其他售后服务工作。</w:t>
            </w:r>
          </w:p>
        </w:tc>
      </w:tr>
      <w:tr w:rsidR="00DA18FF">
        <w:tc>
          <w:tcPr>
            <w:tcW w:w="1440" w:type="dxa"/>
            <w:vMerge w:val="restart"/>
          </w:tcPr>
          <w:p w:rsidR="00DA18FF" w:rsidRDefault="002A6121">
            <w:r>
              <w:t>9</w:t>
            </w:r>
          </w:p>
        </w:tc>
        <w:tc>
          <w:tcPr>
            <w:tcW w:w="1440" w:type="dxa"/>
          </w:tcPr>
          <w:p w:rsidR="00DA18FF" w:rsidRDefault="002A6121">
            <w:r>
              <w:t>配件名称</w:t>
            </w:r>
          </w:p>
        </w:tc>
        <w:tc>
          <w:tcPr>
            <w:tcW w:w="1440" w:type="dxa"/>
          </w:tcPr>
          <w:p w:rsidR="00DA18FF" w:rsidRDefault="002A6121">
            <w:r>
              <w:t>单位</w:t>
            </w:r>
          </w:p>
        </w:tc>
        <w:tc>
          <w:tcPr>
            <w:tcW w:w="1440" w:type="dxa"/>
          </w:tcPr>
          <w:p w:rsidR="00DA18FF" w:rsidRDefault="002A6121">
            <w:r>
              <w:t>单价</w:t>
            </w:r>
          </w:p>
        </w:tc>
        <w:tc>
          <w:tcPr>
            <w:tcW w:w="1440" w:type="dxa"/>
          </w:tcPr>
          <w:p w:rsidR="00DA18FF" w:rsidRDefault="002A6121">
            <w:r>
              <w:t>生产厂商</w:t>
            </w:r>
          </w:p>
        </w:tc>
        <w:tc>
          <w:tcPr>
            <w:tcW w:w="1440" w:type="dxa"/>
          </w:tcPr>
          <w:p w:rsidR="00DA18FF" w:rsidRDefault="002A6121">
            <w:r>
              <w:t>备注</w:t>
            </w:r>
          </w:p>
        </w:tc>
      </w:tr>
      <w:tr w:rsidR="00DA18FF">
        <w:tc>
          <w:tcPr>
            <w:tcW w:w="1440" w:type="dxa"/>
            <w:vMerge/>
          </w:tcPr>
          <w:p w:rsidR="00DA18FF" w:rsidRDefault="00DA18FF"/>
        </w:tc>
        <w:tc>
          <w:tcPr>
            <w:tcW w:w="1440" w:type="dxa"/>
          </w:tcPr>
          <w:p w:rsidR="00DA18FF" w:rsidRDefault="00DA18FF"/>
        </w:tc>
        <w:tc>
          <w:tcPr>
            <w:tcW w:w="1440" w:type="dxa"/>
          </w:tcPr>
          <w:p w:rsidR="00DA18FF" w:rsidRDefault="00DA18FF"/>
        </w:tc>
        <w:tc>
          <w:tcPr>
            <w:tcW w:w="1440" w:type="dxa"/>
          </w:tcPr>
          <w:p w:rsidR="00DA18FF" w:rsidRDefault="00DA18FF"/>
        </w:tc>
        <w:tc>
          <w:tcPr>
            <w:tcW w:w="1440" w:type="dxa"/>
          </w:tcPr>
          <w:p w:rsidR="00DA18FF" w:rsidRDefault="00DA18FF"/>
        </w:tc>
        <w:tc>
          <w:tcPr>
            <w:tcW w:w="1440" w:type="dxa"/>
          </w:tcPr>
          <w:p w:rsidR="00DA18FF" w:rsidRDefault="00DA18FF"/>
        </w:tc>
      </w:tr>
    </w:tbl>
    <w:p w:rsidR="002E0938" w:rsidRDefault="002E0938"/>
    <w:sectPr w:rsidR="002E0938"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F7D" w:rsidRDefault="00183F7D" w:rsidP="004F6E3A">
      <w:pPr>
        <w:spacing w:after="0" w:line="240" w:lineRule="auto"/>
      </w:pPr>
      <w:r>
        <w:separator/>
      </w:r>
    </w:p>
  </w:endnote>
  <w:endnote w:type="continuationSeparator" w:id="1">
    <w:p w:rsidR="00183F7D" w:rsidRDefault="00183F7D" w:rsidP="004F6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F7D" w:rsidRDefault="00183F7D" w:rsidP="004F6E3A">
      <w:pPr>
        <w:spacing w:after="0" w:line="240" w:lineRule="auto"/>
      </w:pPr>
      <w:r>
        <w:separator/>
      </w:r>
    </w:p>
  </w:footnote>
  <w:footnote w:type="continuationSeparator" w:id="1">
    <w:p w:rsidR="00183F7D" w:rsidRDefault="00183F7D" w:rsidP="004F6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B47730"/>
    <w:rsid w:val="00034616"/>
    <w:rsid w:val="0006063C"/>
    <w:rsid w:val="0015074B"/>
    <w:rsid w:val="00183F7D"/>
    <w:rsid w:val="0029639D"/>
    <w:rsid w:val="002A6121"/>
    <w:rsid w:val="002E0938"/>
    <w:rsid w:val="00326F90"/>
    <w:rsid w:val="00332212"/>
    <w:rsid w:val="004F6E3A"/>
    <w:rsid w:val="00755FE9"/>
    <w:rsid w:val="00915106"/>
    <w:rsid w:val="00AA1D8D"/>
    <w:rsid w:val="00B47730"/>
    <w:rsid w:val="00CB0664"/>
    <w:rsid w:val="00DA18FF"/>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header"/>
    <w:basedOn w:val="a1"/>
    <w:link w:val="Char5"/>
    <w:uiPriority w:val="99"/>
    <w:semiHidden/>
    <w:unhideWhenUsed/>
    <w:rsid w:val="004F6E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5">
    <w:name w:val="页眉 Char"/>
    <w:basedOn w:val="a2"/>
    <w:link w:val="aff"/>
    <w:uiPriority w:val="99"/>
    <w:semiHidden/>
    <w:rsid w:val="004F6E3A"/>
    <w:rPr>
      <w:rFonts w:ascii="宋体" w:eastAsia="宋体" w:hAnsi="宋体"/>
      <w:sz w:val="18"/>
      <w:szCs w:val="18"/>
    </w:rPr>
  </w:style>
  <w:style w:type="paragraph" w:styleId="aff0">
    <w:name w:val="footer"/>
    <w:basedOn w:val="a1"/>
    <w:link w:val="Char6"/>
    <w:uiPriority w:val="99"/>
    <w:semiHidden/>
    <w:unhideWhenUsed/>
    <w:rsid w:val="004F6E3A"/>
    <w:pPr>
      <w:tabs>
        <w:tab w:val="center" w:pos="4153"/>
        <w:tab w:val="right" w:pos="8306"/>
      </w:tabs>
      <w:snapToGrid w:val="0"/>
      <w:spacing w:line="240" w:lineRule="auto"/>
    </w:pPr>
    <w:rPr>
      <w:sz w:val="18"/>
      <w:szCs w:val="18"/>
    </w:rPr>
  </w:style>
  <w:style w:type="character" w:customStyle="1" w:styleId="Char6">
    <w:name w:val="页脚 Char"/>
    <w:basedOn w:val="a2"/>
    <w:link w:val="aff0"/>
    <w:uiPriority w:val="99"/>
    <w:semiHidden/>
    <w:rsid w:val="004F6E3A"/>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Heading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Heading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Heading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Title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Subtitle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Body Text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Body Text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Body Text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tabs>
        <w:tab w:val="num" w:pos="360"/>
      </w:tabs>
      <w:ind w:left="360" w:hanging="360"/>
      <w:contextualSpacing/>
    </w:pPr>
  </w:style>
  <w:style w:type="paragraph" w:styleId="20">
    <w:name w:val="List Bullet 2"/>
    <w:basedOn w:val="a1"/>
    <w:uiPriority w:val="99"/>
    <w:unhideWhenUsed/>
    <w:rsid w:val="00326F90"/>
    <w:pPr>
      <w:tabs>
        <w:tab w:val="num" w:pos="720"/>
      </w:tabs>
      <w:ind w:left="720" w:hanging="360"/>
      <w:contextualSpacing/>
    </w:pPr>
  </w:style>
  <w:style w:type="paragraph" w:styleId="30">
    <w:name w:val="List Bullet 3"/>
    <w:basedOn w:val="a1"/>
    <w:uiPriority w:val="99"/>
    <w:unhideWhenUsed/>
    <w:rsid w:val="00326F90"/>
    <w:pPr>
      <w:tabs>
        <w:tab w:val="num" w:pos="1080"/>
      </w:tabs>
      <w:ind w:left="1080" w:hanging="360"/>
      <w:contextualSpacing/>
    </w:pPr>
  </w:style>
  <w:style w:type="paragraph" w:styleId="a">
    <w:name w:val="List Number"/>
    <w:basedOn w:val="a1"/>
    <w:uiPriority w:val="99"/>
    <w:unhideWhenUsed/>
    <w:rsid w:val="00326F90"/>
    <w:pPr>
      <w:tabs>
        <w:tab w:val="num" w:pos="360"/>
      </w:tabs>
      <w:ind w:left="360" w:hanging="360"/>
      <w:contextualSpacing/>
    </w:pPr>
  </w:style>
  <w:style w:type="paragraph" w:styleId="2">
    <w:name w:val="List Number 2"/>
    <w:basedOn w:val="a1"/>
    <w:uiPriority w:val="99"/>
    <w:unhideWhenUsed/>
    <w:rsid w:val="0029639D"/>
    <w:pPr>
      <w:tabs>
        <w:tab w:val="num" w:pos="720"/>
      </w:tabs>
      <w:ind w:left="720" w:hanging="360"/>
      <w:contextualSpacing/>
    </w:pPr>
  </w:style>
  <w:style w:type="paragraph" w:styleId="3">
    <w:name w:val="List Number 3"/>
    <w:basedOn w:val="a1"/>
    <w:uiPriority w:val="99"/>
    <w:unhideWhenUsed/>
    <w:rsid w:val="0029639D"/>
    <w:pPr>
      <w:tabs>
        <w:tab w:val="num" w:pos="1080"/>
      </w:tabs>
      <w:ind w:left="1080" w:hanging="360"/>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Macro Text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Quote Char"/>
    <w:basedOn w:val="a2"/>
    <w:link w:val="ad"/>
    <w:uiPriority w:val="29"/>
    <w:rsid w:val="00FC693F"/>
    <w:rPr>
      <w:i/>
      <w:iCs/>
      <w:color w:val="000000" w:themeColor="text1"/>
    </w:rPr>
  </w:style>
  <w:style w:type="character" w:customStyle="1" w:styleId="4Char">
    <w:name w:val="Heading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Heading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Heading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Heading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Heading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Heading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Intense Quote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4928-D35E-4A9D-B306-153EB538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微软用户（dong）</Company>
  <LinksUpToDate>false</LinksUpToDate>
  <CharactersWithSpaces>3743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NTKO</cp:lastModifiedBy>
  <cp:revision>5</cp:revision>
  <dcterms:created xsi:type="dcterms:W3CDTF">2021-08-25T01:10:00Z</dcterms:created>
  <dcterms:modified xsi:type="dcterms:W3CDTF">2021-08-25T03:27:00Z</dcterms:modified>
</cp:coreProperties>
</file>