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B30" w:rsidRDefault="00DF3129">
      <w:r>
        <w:t>一、具体技术要求</w:t>
      </w:r>
    </w:p>
    <w:tbl>
      <w:tblPr>
        <w:tblStyle w:val="af7"/>
        <w:tblW w:w="0" w:type="auto"/>
        <w:tblLook w:val="04A0" w:firstRow="1" w:lastRow="0" w:firstColumn="1" w:lastColumn="0" w:noHBand="0" w:noVBand="1"/>
      </w:tblPr>
      <w:tblGrid>
        <w:gridCol w:w="2160"/>
        <w:gridCol w:w="2160"/>
        <w:gridCol w:w="2160"/>
        <w:gridCol w:w="2160"/>
      </w:tblGrid>
      <w:tr w:rsidR="00661B30">
        <w:tc>
          <w:tcPr>
            <w:tcW w:w="2160" w:type="dxa"/>
          </w:tcPr>
          <w:p w:rsidR="00661B30" w:rsidRDefault="00DF3129">
            <w:r>
              <w:t>序号</w:t>
            </w:r>
          </w:p>
        </w:tc>
        <w:tc>
          <w:tcPr>
            <w:tcW w:w="2160" w:type="dxa"/>
          </w:tcPr>
          <w:p w:rsidR="00661B30" w:rsidRDefault="00DF3129">
            <w:r>
              <w:t>货物名称</w:t>
            </w:r>
          </w:p>
        </w:tc>
        <w:tc>
          <w:tcPr>
            <w:tcW w:w="4320" w:type="dxa"/>
            <w:gridSpan w:val="2"/>
          </w:tcPr>
          <w:p w:rsidR="00661B30" w:rsidRDefault="00DF3129">
            <w:r>
              <w:t>技术要求</w:t>
            </w:r>
          </w:p>
        </w:tc>
      </w:tr>
      <w:tr w:rsidR="00661B30">
        <w:tc>
          <w:tcPr>
            <w:tcW w:w="4320" w:type="dxa"/>
            <w:gridSpan w:val="2"/>
          </w:tcPr>
          <w:p w:rsidR="00661B30" w:rsidRDefault="00DF3129">
            <w:r>
              <w:t>总体要求</w:t>
            </w:r>
          </w:p>
        </w:tc>
        <w:tc>
          <w:tcPr>
            <w:tcW w:w="4320" w:type="dxa"/>
            <w:gridSpan w:val="2"/>
          </w:tcPr>
          <w:p w:rsidR="00661B30" w:rsidRDefault="00DF3129" w:rsidP="0094642D">
            <w:pPr>
              <w:rPr>
                <w:lang w:eastAsia="zh-CN"/>
              </w:rPr>
            </w:pPr>
            <w:r>
              <w:rPr>
                <w:lang w:eastAsia="zh-CN"/>
              </w:rPr>
              <w:t>1.样品模块：0.2ml，96孔</w:t>
            </w:r>
            <w:r>
              <w:rPr>
                <w:lang w:eastAsia="zh-CN"/>
              </w:rPr>
              <w:br/>
            </w:r>
            <w:r>
              <w:rPr>
                <w:lang w:eastAsia="zh-CN"/>
              </w:rPr>
              <w:br/>
              <w:t>2.最大模块变温速率：4℃/Sec</w:t>
            </w:r>
            <w:r>
              <w:rPr>
                <w:lang w:eastAsia="zh-CN"/>
              </w:rPr>
              <w:br/>
            </w:r>
            <w:r>
              <w:rPr>
                <w:lang w:eastAsia="zh-CN"/>
              </w:rPr>
              <w:br/>
              <w:t>3.★最大样本变温速率：3℃/Sec</w:t>
            </w:r>
            <w:r>
              <w:rPr>
                <w:lang w:eastAsia="zh-CN"/>
              </w:rPr>
              <w:br/>
            </w:r>
            <w:r>
              <w:rPr>
                <w:lang w:eastAsia="zh-CN"/>
              </w:rPr>
              <w:br/>
              <w:t>4.温度范围: 0-100℃</w:t>
            </w:r>
            <w:r>
              <w:rPr>
                <w:lang w:eastAsia="zh-CN"/>
              </w:rPr>
              <w:br/>
            </w:r>
            <w:r>
              <w:rPr>
                <w:lang w:eastAsia="zh-CN"/>
              </w:rPr>
              <w:br/>
              <w:t>5.温度均</w:t>
            </w:r>
            <w:proofErr w:type="gramStart"/>
            <w:r>
              <w:rPr>
                <w:lang w:eastAsia="zh-CN"/>
              </w:rPr>
              <w:t>一</w:t>
            </w:r>
            <w:proofErr w:type="gramEnd"/>
            <w:r>
              <w:rPr>
                <w:lang w:eastAsia="zh-CN"/>
              </w:rPr>
              <w:t>性：＜0.5℃（达到95℃后30秒）</w:t>
            </w:r>
            <w:r>
              <w:rPr>
                <w:lang w:eastAsia="zh-CN"/>
              </w:rPr>
              <w:br/>
            </w:r>
            <w:r>
              <w:rPr>
                <w:lang w:eastAsia="zh-CN"/>
              </w:rPr>
              <w:br/>
              <w:t>6.温度准确性：±0.25℃（35-99.9℃）</w:t>
            </w:r>
            <w:r>
              <w:rPr>
                <w:lang w:eastAsia="zh-CN"/>
              </w:rPr>
              <w:br/>
            </w:r>
            <w:r>
              <w:rPr>
                <w:lang w:eastAsia="zh-CN"/>
              </w:rPr>
              <w:br/>
              <w:t>7.★温度校验标准：可追溯至美国国家标准技术局（NIST）</w:t>
            </w:r>
            <w:r>
              <w:rPr>
                <w:lang w:eastAsia="zh-CN"/>
              </w:rPr>
              <w:br/>
            </w:r>
            <w:r>
              <w:rPr>
                <w:lang w:eastAsia="zh-CN"/>
              </w:rPr>
              <w:br/>
              <w:t xml:space="preserve">8.PCR体积范围：10—100 </w:t>
            </w:r>
            <w:proofErr w:type="spellStart"/>
            <w:r>
              <w:rPr>
                <w:lang w:eastAsia="zh-CN"/>
              </w:rPr>
              <w:t>uL</w:t>
            </w:r>
            <w:proofErr w:type="spellEnd"/>
            <w:r>
              <w:rPr>
                <w:lang w:eastAsia="zh-CN"/>
              </w:rPr>
              <w:br/>
            </w:r>
            <w:r>
              <w:rPr>
                <w:lang w:eastAsia="zh-CN"/>
              </w:rPr>
              <w:br/>
              <w:t>9.★专利</w:t>
            </w:r>
            <w:proofErr w:type="spellStart"/>
            <w:r>
              <w:rPr>
                <w:lang w:eastAsia="zh-CN"/>
              </w:rPr>
              <w:t>VeriFlex</w:t>
            </w:r>
            <w:proofErr w:type="spellEnd"/>
            <w:r>
              <w:rPr>
                <w:lang w:eastAsia="zh-CN"/>
              </w:rPr>
              <w:t>技术， 3个独立控温区域，可精确设置三个不同温度，实现真正意义的梯度PCR，支持10℃温差（区间5℃），最大可设20℃（区间10℃）</w:t>
            </w:r>
            <w:r>
              <w:rPr>
                <w:lang w:eastAsia="zh-CN"/>
              </w:rPr>
              <w:br/>
            </w:r>
            <w:r>
              <w:rPr>
                <w:lang w:eastAsia="zh-CN"/>
              </w:rPr>
              <w:br/>
              <w:t>10.★8英寸彩色TFT触摸式显示屏，直观的导航按钮设置操作简单方便</w:t>
            </w:r>
            <w:r>
              <w:rPr>
                <w:lang w:eastAsia="zh-CN"/>
              </w:rPr>
              <w:br/>
            </w:r>
            <w:r>
              <w:rPr>
                <w:lang w:eastAsia="zh-CN"/>
              </w:rPr>
              <w:br/>
              <w:t>11.热盖：默认105℃，可设置关闭。温度可调范围：30-110℃ 。</w:t>
            </w:r>
            <w:proofErr w:type="gramStart"/>
            <w:r>
              <w:rPr>
                <w:lang w:eastAsia="zh-CN"/>
              </w:rPr>
              <w:t>热盖自动调节</w:t>
            </w:r>
            <w:proofErr w:type="gramEnd"/>
            <w:r>
              <w:rPr>
                <w:lang w:eastAsia="zh-CN"/>
              </w:rPr>
              <w:t>压力。</w:t>
            </w:r>
            <w:r>
              <w:rPr>
                <w:lang w:eastAsia="zh-CN"/>
              </w:rPr>
              <w:br/>
            </w:r>
            <w:r>
              <w:rPr>
                <w:lang w:eastAsia="zh-CN"/>
              </w:rPr>
              <w:br/>
              <w:t>12.程序存储：机载存储（5.9 GB, 最多可存120万个程序文件），也具有U盘插槽，用于转移和保存程序；</w:t>
            </w:r>
            <w:r>
              <w:rPr>
                <w:lang w:eastAsia="zh-CN"/>
              </w:rPr>
              <w:br/>
            </w:r>
            <w:r>
              <w:rPr>
                <w:lang w:eastAsia="zh-CN"/>
              </w:rPr>
              <w:br/>
              <w:t>13.★有线或无线网络连接，可选配无线网卡，通过下载免费Instrument Connect手机应用程序到</w:t>
            </w:r>
            <w:proofErr w:type="spellStart"/>
            <w:r>
              <w:rPr>
                <w:lang w:eastAsia="zh-CN"/>
              </w:rPr>
              <w:t>iphone</w:t>
            </w:r>
            <w:proofErr w:type="spellEnd"/>
            <w:r>
              <w:rPr>
                <w:lang w:eastAsia="zh-CN"/>
              </w:rPr>
              <w:t>或android移动设备，随时随地查看仪器状态，启动或控制运行；也可以通过免费Thermo Fisher Cloud平台在电脑端编辑程序、启动或终止运行、设置Email提醒或通过Cloud共享程序文件；</w:t>
            </w:r>
            <w:r>
              <w:rPr>
                <w:lang w:eastAsia="zh-CN"/>
              </w:rPr>
              <w:br/>
            </w:r>
            <w:r>
              <w:rPr>
                <w:lang w:eastAsia="zh-CN"/>
              </w:rPr>
              <w:lastRenderedPageBreak/>
              <w:br/>
              <w:t>14.★联机操控：无需购买软件，允许多台机器在同一局域网内相互连接，并设置由其中一台来操控；</w:t>
            </w:r>
            <w:r>
              <w:rPr>
                <w:lang w:eastAsia="zh-CN"/>
              </w:rPr>
              <w:br/>
            </w:r>
            <w:r>
              <w:rPr>
                <w:lang w:eastAsia="zh-CN"/>
              </w:rPr>
              <w:br/>
              <w:t>15.★内置热学模拟模式，可以模拟2720，Bio-Rad T100，</w:t>
            </w:r>
            <w:proofErr w:type="spellStart"/>
            <w:r>
              <w:rPr>
                <w:lang w:eastAsia="zh-CN"/>
              </w:rPr>
              <w:t>Eppendorf</w:t>
            </w:r>
            <w:proofErr w:type="spellEnd"/>
            <w:r>
              <w:rPr>
                <w:lang w:eastAsia="zh-CN"/>
              </w:rPr>
              <w:t xml:space="preserve"> </w:t>
            </w:r>
            <w:proofErr w:type="spellStart"/>
            <w:r>
              <w:rPr>
                <w:lang w:eastAsia="zh-CN"/>
              </w:rPr>
              <w:t>Mastercycler</w:t>
            </w:r>
            <w:proofErr w:type="spellEnd"/>
            <w:r>
              <w:rPr>
                <w:lang w:eastAsia="zh-CN"/>
              </w:rPr>
              <w:t>等市面上主流PCR仪的热学性能，方便实验的平稳过渡；</w:t>
            </w:r>
            <w:r>
              <w:rPr>
                <w:lang w:eastAsia="zh-CN"/>
              </w:rPr>
              <w:br/>
            </w:r>
            <w:r>
              <w:rPr>
                <w:lang w:eastAsia="zh-CN"/>
              </w:rPr>
              <w:br/>
              <w:t>16.内置多种PCR程序模板，可直接调用，包括基础PCR、热启动PCR、测序PCR、优化PCR、 RT-PCR、高保真PCR、高特异PCR和Long PCR等；内置</w:t>
            </w:r>
            <w:proofErr w:type="spellStart"/>
            <w:r>
              <w:rPr>
                <w:lang w:eastAsia="zh-CN"/>
              </w:rPr>
              <w:t>AutoDelta</w:t>
            </w:r>
            <w:proofErr w:type="spellEnd"/>
            <w:r>
              <w:rPr>
                <w:lang w:eastAsia="zh-CN"/>
              </w:rPr>
              <w:t>选项(适合Touchdown PCR,从哪个循环</w:t>
            </w:r>
            <w:proofErr w:type="gramStart"/>
            <w:r>
              <w:rPr>
                <w:lang w:eastAsia="zh-CN"/>
              </w:rPr>
              <w:t>开始哪</w:t>
            </w:r>
            <w:proofErr w:type="gramEnd"/>
            <w:r>
              <w:rPr>
                <w:lang w:eastAsia="zh-CN"/>
              </w:rPr>
              <w:t xml:space="preserve">一步进行温度升降或时间调整）、变温速率可调节, </w:t>
            </w:r>
            <w:proofErr w:type="spellStart"/>
            <w:r>
              <w:rPr>
                <w:lang w:eastAsia="zh-CN"/>
              </w:rPr>
              <w:t>VeriFlex</w:t>
            </w:r>
            <w:proofErr w:type="spellEnd"/>
            <w:r>
              <w:rPr>
                <w:lang w:eastAsia="zh-CN"/>
              </w:rPr>
              <w:t>等可选功能辅助优化PCR程序；</w:t>
            </w:r>
            <w:r>
              <w:rPr>
                <w:lang w:eastAsia="zh-CN"/>
              </w:rPr>
              <w:br/>
            </w:r>
            <w:r>
              <w:rPr>
                <w:lang w:eastAsia="zh-CN"/>
              </w:rPr>
              <w:br/>
              <w:t>17. 其他功能：自动断电重启、多重用户权限管理、实验中编辑或暂停程序、仪器自检测试、</w:t>
            </w:r>
            <w:proofErr w:type="gramStart"/>
            <w:r>
              <w:rPr>
                <w:lang w:eastAsia="zh-CN"/>
              </w:rPr>
              <w:t>热盖温度</w:t>
            </w:r>
            <w:proofErr w:type="gramEnd"/>
            <w:r>
              <w:rPr>
                <w:lang w:eastAsia="zh-CN"/>
              </w:rPr>
              <w:t>可调或关闭、变温速率可调、一键设置孵育、自动休眠、查看运行日志并导出等；</w:t>
            </w:r>
            <w:r w:rsidR="0094642D">
              <w:rPr>
                <w:lang w:eastAsia="zh-CN"/>
              </w:rPr>
              <w:br/>
            </w:r>
            <w:r>
              <w:rPr>
                <w:lang w:eastAsia="zh-CN"/>
              </w:rPr>
              <w:br/>
            </w:r>
            <w:r>
              <w:rPr>
                <w:lang w:eastAsia="zh-CN"/>
              </w:rPr>
              <w:br/>
            </w:r>
            <w:r w:rsidR="0094642D">
              <w:rPr>
                <w:rFonts w:hint="eastAsia"/>
                <w:lang w:eastAsia="zh-CN"/>
              </w:rPr>
              <w:t>18</w:t>
            </w:r>
            <w:r>
              <w:rPr>
                <w:lang w:eastAsia="zh-CN"/>
              </w:rPr>
              <w:t>.电源：100-240 V， 50-60 Hz, 最大 600W</w:t>
            </w:r>
            <w:bookmarkStart w:id="0" w:name="_GoBack"/>
            <w:bookmarkEnd w:id="0"/>
            <w:r>
              <w:rPr>
                <w:lang w:eastAsia="zh-CN"/>
              </w:rPr>
              <w:br/>
            </w:r>
            <w:r>
              <w:rPr>
                <w:lang w:eastAsia="zh-CN"/>
              </w:rPr>
              <w:br/>
            </w:r>
            <w:r w:rsidR="0094642D">
              <w:rPr>
                <w:rFonts w:hint="eastAsia"/>
                <w:lang w:eastAsia="zh-CN"/>
              </w:rPr>
              <w:t>19</w:t>
            </w:r>
            <w:r>
              <w:rPr>
                <w:lang w:eastAsia="zh-CN"/>
              </w:rPr>
              <w:t>.工作条件： 环境温度15～30 ℃，相对湿度15%～80%， 海拔高度：测试过≤6000ft仪器的安全性</w:t>
            </w:r>
          </w:p>
        </w:tc>
      </w:tr>
      <w:tr w:rsidR="00661B30">
        <w:tc>
          <w:tcPr>
            <w:tcW w:w="2160" w:type="dxa"/>
          </w:tcPr>
          <w:p w:rsidR="00661B30" w:rsidRDefault="00DF3129">
            <w:r>
              <w:lastRenderedPageBreak/>
              <w:t>2</w:t>
            </w:r>
          </w:p>
        </w:tc>
        <w:tc>
          <w:tcPr>
            <w:tcW w:w="2160" w:type="dxa"/>
          </w:tcPr>
          <w:p w:rsidR="00661B30" w:rsidRDefault="00DF3129">
            <w:r>
              <w:t>主机要求</w:t>
            </w:r>
          </w:p>
        </w:tc>
        <w:tc>
          <w:tcPr>
            <w:tcW w:w="4320" w:type="dxa"/>
            <w:gridSpan w:val="2"/>
          </w:tcPr>
          <w:p w:rsidR="00661B30" w:rsidRDefault="00661B30"/>
        </w:tc>
      </w:tr>
      <w:tr w:rsidR="00661B30">
        <w:tc>
          <w:tcPr>
            <w:tcW w:w="2160" w:type="dxa"/>
          </w:tcPr>
          <w:p w:rsidR="00661B30" w:rsidRDefault="00DF3129">
            <w:r>
              <w:t>2</w:t>
            </w:r>
          </w:p>
        </w:tc>
        <w:tc>
          <w:tcPr>
            <w:tcW w:w="2160" w:type="dxa"/>
          </w:tcPr>
          <w:p w:rsidR="00661B30" w:rsidRDefault="00DF3129">
            <w:r>
              <w:t>附属设备要求</w:t>
            </w:r>
          </w:p>
        </w:tc>
        <w:tc>
          <w:tcPr>
            <w:tcW w:w="4320" w:type="dxa"/>
            <w:gridSpan w:val="2"/>
          </w:tcPr>
          <w:p w:rsidR="00661B30" w:rsidRDefault="00661B30"/>
        </w:tc>
      </w:tr>
      <w:tr w:rsidR="00661B30">
        <w:tc>
          <w:tcPr>
            <w:tcW w:w="8640" w:type="dxa"/>
            <w:gridSpan w:val="4"/>
          </w:tcPr>
          <w:p w:rsidR="00661B30" w:rsidRDefault="00DF3129">
            <w:pPr>
              <w:rPr>
                <w:lang w:eastAsia="zh-CN"/>
              </w:rPr>
            </w:pPr>
            <w:r>
              <w:rPr>
                <w:lang w:eastAsia="zh-CN"/>
              </w:rPr>
              <w:t>配置清单 (注：配置清单需明确数量、单位、且不可涉及产地品牌型号等)</w:t>
            </w:r>
          </w:p>
        </w:tc>
      </w:tr>
      <w:tr w:rsidR="00661B30">
        <w:tc>
          <w:tcPr>
            <w:tcW w:w="2160" w:type="dxa"/>
          </w:tcPr>
          <w:p w:rsidR="00661B30" w:rsidRDefault="00DF3129">
            <w:proofErr w:type="spellStart"/>
            <w:r>
              <w:t>序号</w:t>
            </w:r>
            <w:proofErr w:type="spellEnd"/>
          </w:p>
        </w:tc>
        <w:tc>
          <w:tcPr>
            <w:tcW w:w="2160" w:type="dxa"/>
          </w:tcPr>
          <w:p w:rsidR="00661B30" w:rsidRDefault="00DF3129">
            <w:r>
              <w:t>名称</w:t>
            </w:r>
          </w:p>
        </w:tc>
        <w:tc>
          <w:tcPr>
            <w:tcW w:w="2160" w:type="dxa"/>
          </w:tcPr>
          <w:p w:rsidR="00661B30" w:rsidRDefault="00DF3129">
            <w:r>
              <w:t>单位</w:t>
            </w:r>
          </w:p>
        </w:tc>
        <w:tc>
          <w:tcPr>
            <w:tcW w:w="2160" w:type="dxa"/>
          </w:tcPr>
          <w:p w:rsidR="00661B30" w:rsidRDefault="00DF3129">
            <w:r>
              <w:t>数量</w:t>
            </w:r>
          </w:p>
        </w:tc>
      </w:tr>
      <w:tr w:rsidR="00661B30">
        <w:tc>
          <w:tcPr>
            <w:tcW w:w="2160" w:type="dxa"/>
          </w:tcPr>
          <w:p w:rsidR="00661B30" w:rsidRDefault="00DF3129">
            <w:r>
              <w:t>1</w:t>
            </w:r>
          </w:p>
        </w:tc>
        <w:tc>
          <w:tcPr>
            <w:tcW w:w="2160" w:type="dxa"/>
          </w:tcPr>
          <w:p w:rsidR="00661B30" w:rsidRDefault="00DF3129">
            <w:r>
              <w:t>PCR仪主机</w:t>
            </w:r>
          </w:p>
        </w:tc>
        <w:tc>
          <w:tcPr>
            <w:tcW w:w="2160" w:type="dxa"/>
          </w:tcPr>
          <w:p w:rsidR="00661B30" w:rsidRDefault="00DF3129">
            <w:r>
              <w:t>台</w:t>
            </w:r>
          </w:p>
        </w:tc>
        <w:tc>
          <w:tcPr>
            <w:tcW w:w="2160" w:type="dxa"/>
          </w:tcPr>
          <w:p w:rsidR="00661B30" w:rsidRDefault="00DF3129">
            <w:r>
              <w:t>1</w:t>
            </w:r>
          </w:p>
        </w:tc>
      </w:tr>
      <w:tr w:rsidR="00661B30">
        <w:tc>
          <w:tcPr>
            <w:tcW w:w="2160" w:type="dxa"/>
          </w:tcPr>
          <w:p w:rsidR="00661B30" w:rsidRDefault="00DF3129">
            <w:r>
              <w:t>2</w:t>
            </w:r>
          </w:p>
        </w:tc>
        <w:tc>
          <w:tcPr>
            <w:tcW w:w="2160" w:type="dxa"/>
          </w:tcPr>
          <w:p w:rsidR="00661B30" w:rsidRDefault="00DF3129">
            <w:r>
              <w:t>电源线</w:t>
            </w:r>
          </w:p>
        </w:tc>
        <w:tc>
          <w:tcPr>
            <w:tcW w:w="2160" w:type="dxa"/>
          </w:tcPr>
          <w:p w:rsidR="00661B30" w:rsidRDefault="00DF3129">
            <w:r>
              <w:t>根</w:t>
            </w:r>
          </w:p>
        </w:tc>
        <w:tc>
          <w:tcPr>
            <w:tcW w:w="2160" w:type="dxa"/>
          </w:tcPr>
          <w:p w:rsidR="00661B30" w:rsidRDefault="00DF3129">
            <w:r>
              <w:t>1</w:t>
            </w:r>
          </w:p>
        </w:tc>
      </w:tr>
      <w:tr w:rsidR="00661B30">
        <w:tc>
          <w:tcPr>
            <w:tcW w:w="2160" w:type="dxa"/>
          </w:tcPr>
          <w:p w:rsidR="00661B30" w:rsidRDefault="00DF3129">
            <w:r>
              <w:t>3</w:t>
            </w:r>
          </w:p>
        </w:tc>
        <w:tc>
          <w:tcPr>
            <w:tcW w:w="2160" w:type="dxa"/>
          </w:tcPr>
          <w:p w:rsidR="00661B30" w:rsidRDefault="00DF3129">
            <w:r>
              <w:t>入门耗材套装</w:t>
            </w:r>
          </w:p>
        </w:tc>
        <w:tc>
          <w:tcPr>
            <w:tcW w:w="2160" w:type="dxa"/>
          </w:tcPr>
          <w:p w:rsidR="00661B30" w:rsidRDefault="00DF3129">
            <w:r>
              <w:t>盒</w:t>
            </w:r>
          </w:p>
        </w:tc>
        <w:tc>
          <w:tcPr>
            <w:tcW w:w="2160" w:type="dxa"/>
          </w:tcPr>
          <w:p w:rsidR="00661B30" w:rsidRDefault="00DF3129">
            <w:r>
              <w:t>1</w:t>
            </w:r>
          </w:p>
        </w:tc>
      </w:tr>
      <w:tr w:rsidR="00661B30">
        <w:tc>
          <w:tcPr>
            <w:tcW w:w="2160" w:type="dxa"/>
          </w:tcPr>
          <w:p w:rsidR="00661B30" w:rsidRDefault="00DF3129">
            <w:r>
              <w:t>4</w:t>
            </w:r>
          </w:p>
        </w:tc>
        <w:tc>
          <w:tcPr>
            <w:tcW w:w="2160" w:type="dxa"/>
          </w:tcPr>
          <w:p w:rsidR="00661B30" w:rsidRDefault="00DF3129">
            <w:r>
              <w:t>快速操作说明</w:t>
            </w:r>
          </w:p>
        </w:tc>
        <w:tc>
          <w:tcPr>
            <w:tcW w:w="2160" w:type="dxa"/>
          </w:tcPr>
          <w:p w:rsidR="00661B30" w:rsidRDefault="00DF3129">
            <w:r>
              <w:t>份</w:t>
            </w:r>
          </w:p>
        </w:tc>
        <w:tc>
          <w:tcPr>
            <w:tcW w:w="2160" w:type="dxa"/>
          </w:tcPr>
          <w:p w:rsidR="00661B30" w:rsidRDefault="00DF3129">
            <w:r>
              <w:t>1</w:t>
            </w:r>
          </w:p>
        </w:tc>
      </w:tr>
      <w:tr w:rsidR="00661B30">
        <w:tc>
          <w:tcPr>
            <w:tcW w:w="2160" w:type="dxa"/>
          </w:tcPr>
          <w:p w:rsidR="00661B30" w:rsidRDefault="00DF3129">
            <w:r>
              <w:t>5</w:t>
            </w:r>
          </w:p>
        </w:tc>
        <w:tc>
          <w:tcPr>
            <w:tcW w:w="2160" w:type="dxa"/>
          </w:tcPr>
          <w:p w:rsidR="00661B30" w:rsidRDefault="00DF3129">
            <w:r>
              <w:t>COA质量证书</w:t>
            </w:r>
          </w:p>
        </w:tc>
        <w:tc>
          <w:tcPr>
            <w:tcW w:w="2160" w:type="dxa"/>
          </w:tcPr>
          <w:p w:rsidR="00661B30" w:rsidRDefault="00DF3129">
            <w:r>
              <w:t>份</w:t>
            </w:r>
          </w:p>
        </w:tc>
        <w:tc>
          <w:tcPr>
            <w:tcW w:w="2160" w:type="dxa"/>
          </w:tcPr>
          <w:p w:rsidR="00661B30" w:rsidRDefault="00DF3129">
            <w:r>
              <w:t>1</w:t>
            </w:r>
          </w:p>
        </w:tc>
      </w:tr>
    </w:tbl>
    <w:p w:rsidR="00661B30" w:rsidRDefault="00DF3129">
      <w:r>
        <w:t>二、商务条款</w:t>
      </w:r>
    </w:p>
    <w:tbl>
      <w:tblPr>
        <w:tblStyle w:val="af7"/>
        <w:tblW w:w="0" w:type="auto"/>
        <w:tblLook w:val="04A0" w:firstRow="1" w:lastRow="0" w:firstColumn="1" w:lastColumn="0" w:noHBand="0" w:noVBand="1"/>
      </w:tblPr>
      <w:tblGrid>
        <w:gridCol w:w="1440"/>
        <w:gridCol w:w="1440"/>
        <w:gridCol w:w="1440"/>
        <w:gridCol w:w="1440"/>
        <w:gridCol w:w="1440"/>
        <w:gridCol w:w="1440"/>
      </w:tblGrid>
      <w:tr w:rsidR="00661B30">
        <w:tc>
          <w:tcPr>
            <w:tcW w:w="2880" w:type="dxa"/>
            <w:gridSpan w:val="2"/>
          </w:tcPr>
          <w:p w:rsidR="00661B30" w:rsidRDefault="00DF3129">
            <w:r>
              <w:t>序号</w:t>
            </w:r>
          </w:p>
        </w:tc>
        <w:tc>
          <w:tcPr>
            <w:tcW w:w="2880" w:type="dxa"/>
            <w:gridSpan w:val="2"/>
          </w:tcPr>
          <w:p w:rsidR="00661B30" w:rsidRDefault="00DF3129">
            <w:r>
              <w:t>目录</w:t>
            </w:r>
          </w:p>
        </w:tc>
        <w:tc>
          <w:tcPr>
            <w:tcW w:w="2880" w:type="dxa"/>
            <w:gridSpan w:val="2"/>
          </w:tcPr>
          <w:p w:rsidR="00661B30" w:rsidRDefault="00DF3129">
            <w:r>
              <w:t>商务要求</w:t>
            </w:r>
          </w:p>
        </w:tc>
      </w:tr>
      <w:tr w:rsidR="00661B30">
        <w:tc>
          <w:tcPr>
            <w:tcW w:w="8640" w:type="dxa"/>
            <w:gridSpan w:val="6"/>
          </w:tcPr>
          <w:p w:rsidR="00661B30" w:rsidRDefault="00DF3129">
            <w:pPr>
              <w:rPr>
                <w:lang w:eastAsia="zh-CN"/>
              </w:rPr>
            </w:pPr>
            <w:r>
              <w:rPr>
                <w:lang w:eastAsia="zh-CN"/>
              </w:rPr>
              <w:t>（一）免费保修期内售后服务要求</w:t>
            </w:r>
          </w:p>
        </w:tc>
      </w:tr>
      <w:tr w:rsidR="00661B30">
        <w:tc>
          <w:tcPr>
            <w:tcW w:w="2880" w:type="dxa"/>
            <w:gridSpan w:val="2"/>
            <w:vMerge w:val="restart"/>
          </w:tcPr>
          <w:p w:rsidR="00661B30" w:rsidRDefault="00DF3129">
            <w:r>
              <w:lastRenderedPageBreak/>
              <w:t>1</w:t>
            </w:r>
          </w:p>
        </w:tc>
        <w:tc>
          <w:tcPr>
            <w:tcW w:w="2880" w:type="dxa"/>
            <w:gridSpan w:val="2"/>
            <w:vMerge w:val="restart"/>
          </w:tcPr>
          <w:p w:rsidR="00661B30" w:rsidRDefault="00DF3129">
            <w:r>
              <w:t>维修及维护服务</w:t>
            </w:r>
          </w:p>
        </w:tc>
        <w:tc>
          <w:tcPr>
            <w:tcW w:w="2880" w:type="dxa"/>
            <w:gridSpan w:val="2"/>
          </w:tcPr>
          <w:p w:rsidR="00661B30" w:rsidRDefault="009C4FF8">
            <w:pPr>
              <w:rPr>
                <w:lang w:eastAsia="zh-CN"/>
              </w:rPr>
            </w:pPr>
            <w:r>
              <w:rPr>
                <w:rFonts w:hint="eastAsia"/>
                <w:lang w:eastAsia="zh-CN"/>
              </w:rPr>
              <w:t>★1所投货物（</w:t>
            </w:r>
            <w:proofErr w:type="gramStart"/>
            <w:r>
              <w:rPr>
                <w:rFonts w:hint="eastAsia"/>
                <w:lang w:eastAsia="zh-CN"/>
              </w:rPr>
              <w:t>含标准</w:t>
            </w:r>
            <w:proofErr w:type="gramEnd"/>
            <w:r>
              <w:rPr>
                <w:rFonts w:hint="eastAsia"/>
                <w:lang w:eastAsia="zh-CN"/>
              </w:rPr>
              <w:t>配置及可选配件）免费保修期</w:t>
            </w:r>
            <w:r>
              <w:rPr>
                <w:rFonts w:hint="eastAsia"/>
              </w:rPr>
              <w:t> </w:t>
            </w:r>
            <w:r>
              <w:rPr>
                <w:rFonts w:hint="eastAsia"/>
                <w:lang w:eastAsia="zh-CN"/>
              </w:rPr>
              <w:t>3年,厂商也可增加免费保修年限，时间</w:t>
            </w:r>
            <w:proofErr w:type="gramStart"/>
            <w:r>
              <w:rPr>
                <w:rFonts w:hint="eastAsia"/>
                <w:lang w:eastAsia="zh-CN"/>
              </w:rPr>
              <w:t>自最终</w:t>
            </w:r>
            <w:proofErr w:type="gramEnd"/>
            <w:r>
              <w:rPr>
                <w:rFonts w:hint="eastAsia"/>
                <w:lang w:eastAsia="zh-CN"/>
              </w:rPr>
              <w:t>验收合格并交付使用之日起计算。并提供设备原厂服务，（全保修所有部件及软件）终身维修。</w:t>
            </w:r>
          </w:p>
        </w:tc>
      </w:tr>
      <w:tr w:rsidR="009C4FF8">
        <w:tc>
          <w:tcPr>
            <w:tcW w:w="2880" w:type="dxa"/>
            <w:gridSpan w:val="2"/>
            <w:vMerge/>
          </w:tcPr>
          <w:p w:rsidR="009C4FF8" w:rsidRDefault="009C4FF8">
            <w:pPr>
              <w:rPr>
                <w:lang w:eastAsia="zh-CN"/>
              </w:rPr>
            </w:pPr>
          </w:p>
        </w:tc>
        <w:tc>
          <w:tcPr>
            <w:tcW w:w="2880" w:type="dxa"/>
            <w:gridSpan w:val="2"/>
            <w:vMerge/>
          </w:tcPr>
          <w:p w:rsidR="009C4FF8" w:rsidRDefault="009C4FF8">
            <w:pPr>
              <w:rPr>
                <w:lang w:eastAsia="zh-CN"/>
              </w:rPr>
            </w:pPr>
          </w:p>
        </w:tc>
        <w:tc>
          <w:tcPr>
            <w:tcW w:w="2880" w:type="dxa"/>
            <w:gridSpan w:val="2"/>
          </w:tcPr>
          <w:p w:rsidR="009C4FF8" w:rsidRDefault="009C4FF8">
            <w:pPr>
              <w:rPr>
                <w:lang w:eastAsia="zh-CN"/>
              </w:rPr>
            </w:pPr>
            <w:r>
              <w:rPr>
                <w:lang w:eastAsia="zh-CN"/>
              </w:rPr>
              <w:t>★1.1 一般情况下国产货物自签订合同之日起 30 日历日内、进口货物自60日历日内交货并安装调试交付验收，特殊情况下国产货物可延迟至 60 日、进口设备可延迟至 90 日交货。</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1.3由设备制造商提供售后服务，4 小时内响应，24 小时维修到位（不可抗力情况除外）。消耗品和零配件供应及时，特殊情况下可提供备用机。</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★1.4提供设备原厂服务，负责货物的终身维修，保证10年以上供应维修配件，5年内免费提供软件升级服务，并免费配合医院完成设备端信息化接口改造。</w:t>
            </w:r>
          </w:p>
        </w:tc>
      </w:tr>
      <w:tr w:rsidR="00661B30">
        <w:tc>
          <w:tcPr>
            <w:tcW w:w="2880" w:type="dxa"/>
            <w:gridSpan w:val="2"/>
          </w:tcPr>
          <w:p w:rsidR="00661B30" w:rsidRDefault="00DF3129">
            <w:r>
              <w:t>2</w:t>
            </w:r>
          </w:p>
        </w:tc>
        <w:tc>
          <w:tcPr>
            <w:tcW w:w="2880" w:type="dxa"/>
            <w:gridSpan w:val="2"/>
          </w:tcPr>
          <w:p w:rsidR="00661B30" w:rsidRDefault="00DF3129">
            <w:r>
              <w:t>质量保证</w:t>
            </w:r>
          </w:p>
        </w:tc>
        <w:tc>
          <w:tcPr>
            <w:tcW w:w="2880" w:type="dxa"/>
            <w:gridSpan w:val="2"/>
          </w:tcPr>
          <w:p w:rsidR="00661B30" w:rsidRDefault="00DF3129">
            <w:r>
              <w:rPr>
                <w:lang w:eastAsia="zh-CN"/>
              </w:rPr>
              <w:t>2.1在免费保修期内, 投标人应确保年开机率在95%以上, 若不能达到此开机率，将作以下处理：</w:t>
            </w:r>
            <w:proofErr w:type="gramStart"/>
            <w:r>
              <w:rPr>
                <w:lang w:eastAsia="zh-CN"/>
              </w:rPr>
              <w:t>a</w:t>
            </w:r>
            <w:proofErr w:type="gramEnd"/>
            <w:r>
              <w:rPr>
                <w:lang w:eastAsia="zh-CN"/>
              </w:rPr>
              <w:t>. 年开机率在90-95%之间按一赔五延长保修期；b. 年开机率在85-90%之间按一赔十延长保修期；c. 年开机率低于85%，投标人必须无条件</w:t>
            </w:r>
            <w:r>
              <w:rPr>
                <w:lang w:eastAsia="zh-CN"/>
              </w:rPr>
              <w:lastRenderedPageBreak/>
              <w:t>更换新机，并重新计算保修期，以及赔偿用户的直接经济损失和间接经济损失。</w:t>
            </w:r>
            <w:proofErr w:type="spellStart"/>
            <w:r>
              <w:t>注：年开机率</w:t>
            </w:r>
            <w:proofErr w:type="spellEnd"/>
            <w:r>
              <w:t>=（365-停机天数）/365）</w:t>
            </w:r>
          </w:p>
        </w:tc>
      </w:tr>
      <w:tr w:rsidR="00661B30">
        <w:tc>
          <w:tcPr>
            <w:tcW w:w="8640" w:type="dxa"/>
            <w:gridSpan w:val="6"/>
          </w:tcPr>
          <w:p w:rsidR="00661B30" w:rsidRDefault="00DF3129">
            <w:pPr>
              <w:rPr>
                <w:lang w:eastAsia="zh-CN"/>
              </w:rPr>
            </w:pPr>
            <w:r>
              <w:rPr>
                <w:lang w:eastAsia="zh-CN"/>
              </w:rPr>
              <w:lastRenderedPageBreak/>
              <w:t>（二）免费保修期外售后服务要求</w:t>
            </w:r>
          </w:p>
        </w:tc>
      </w:tr>
      <w:tr w:rsidR="00661B30">
        <w:tc>
          <w:tcPr>
            <w:tcW w:w="2880" w:type="dxa"/>
            <w:gridSpan w:val="2"/>
            <w:vMerge w:val="restart"/>
          </w:tcPr>
          <w:p w:rsidR="00661B30" w:rsidRDefault="00DF3129">
            <w:r>
              <w:t>1</w:t>
            </w:r>
          </w:p>
        </w:tc>
        <w:tc>
          <w:tcPr>
            <w:tcW w:w="2880" w:type="dxa"/>
            <w:gridSpan w:val="2"/>
            <w:vMerge w:val="restart"/>
          </w:tcPr>
          <w:p w:rsidR="00661B30" w:rsidRDefault="00DF3129">
            <w:r>
              <w:t>服务内容及要求</w:t>
            </w:r>
          </w:p>
        </w:tc>
        <w:tc>
          <w:tcPr>
            <w:tcW w:w="2880" w:type="dxa"/>
            <w:gridSpan w:val="2"/>
          </w:tcPr>
          <w:p w:rsidR="00661B30" w:rsidRDefault="00DF3129">
            <w:pPr>
              <w:rPr>
                <w:lang w:eastAsia="zh-CN"/>
              </w:rPr>
            </w:pPr>
            <w:r>
              <w:rPr>
                <w:lang w:eastAsia="zh-CN"/>
              </w:rPr>
              <w:t>1.1由设备制造商提供售后服务，4小时内响应，24小时维修到位（不可抗力情况除外）。消耗品和零配件供应及时，特殊情况下可提供备用机。</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w:t>
            </w:r>
            <w:proofErr w:type="gramStart"/>
            <w:r>
              <w:rPr>
                <w:lang w:eastAsia="zh-CN"/>
              </w:rPr>
              <w:t>延续全</w:t>
            </w:r>
            <w:proofErr w:type="gramEnd"/>
            <w:r>
              <w:rPr>
                <w:lang w:eastAsia="zh-CN"/>
              </w:rPr>
              <w:t>保修合同、部分备件与人工保修合同、仅人工保修合同的报价明细必须填写于《零配件、消耗品和延续保修合同报价明清单》中。</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1.3维修的货物经采购人验收合格，且设备制造商提供维修专用发票后，采购人支付维修费用。</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1.4采购人可与投标人就优惠价进行谈判，但优惠价不得高于投标人在投标文件的《零配件、消耗品和延续保修合同报价明清单》中承诺的维修零配件、消耗品和延续保修合同的报价。</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1.5投标人及设备制造商不得以任何理由不按时进行维修，不得要求采购人购买所谓“保修服务”（即：不论设备有无故障先买保修服务），不得在设备</w:t>
            </w:r>
            <w:proofErr w:type="gramStart"/>
            <w:r>
              <w:rPr>
                <w:lang w:eastAsia="zh-CN"/>
              </w:rPr>
              <w:t>中嵌设任何</w:t>
            </w:r>
            <w:proofErr w:type="gramEnd"/>
            <w:r>
              <w:rPr>
                <w:lang w:eastAsia="zh-CN"/>
              </w:rPr>
              <w:t>不利于采购人使用与维修设备的障碍。在规定的设备</w:t>
            </w:r>
            <w:r>
              <w:rPr>
                <w:lang w:eastAsia="zh-CN"/>
              </w:rPr>
              <w:lastRenderedPageBreak/>
              <w:t>使用寿命期限内保证相关配件供应。</w:t>
            </w:r>
          </w:p>
        </w:tc>
      </w:tr>
      <w:tr w:rsidR="00661B30">
        <w:tc>
          <w:tcPr>
            <w:tcW w:w="8640" w:type="dxa"/>
            <w:gridSpan w:val="6"/>
          </w:tcPr>
          <w:p w:rsidR="00661B30" w:rsidRDefault="00DF3129">
            <w:r>
              <w:lastRenderedPageBreak/>
              <w:t>（</w:t>
            </w:r>
            <w:proofErr w:type="spellStart"/>
            <w:r>
              <w:t>三）其他商务要求</w:t>
            </w:r>
            <w:proofErr w:type="spellEnd"/>
          </w:p>
        </w:tc>
      </w:tr>
      <w:tr w:rsidR="00661B30">
        <w:tc>
          <w:tcPr>
            <w:tcW w:w="2880" w:type="dxa"/>
            <w:gridSpan w:val="2"/>
            <w:vMerge w:val="restart"/>
          </w:tcPr>
          <w:p w:rsidR="00661B30" w:rsidRDefault="00DF3129">
            <w:r>
              <w:t>1</w:t>
            </w:r>
          </w:p>
        </w:tc>
        <w:tc>
          <w:tcPr>
            <w:tcW w:w="2880" w:type="dxa"/>
            <w:gridSpan w:val="2"/>
            <w:vMerge w:val="restart"/>
          </w:tcPr>
          <w:p w:rsidR="00661B30" w:rsidRDefault="00DF3129">
            <w:r>
              <w:t>交货条件</w:t>
            </w:r>
          </w:p>
        </w:tc>
        <w:tc>
          <w:tcPr>
            <w:tcW w:w="2880" w:type="dxa"/>
            <w:gridSpan w:val="2"/>
          </w:tcPr>
          <w:p w:rsidR="00661B30" w:rsidRDefault="00DF3129">
            <w:pPr>
              <w:rPr>
                <w:lang w:eastAsia="zh-CN"/>
              </w:rPr>
            </w:pPr>
            <w:r>
              <w:rPr>
                <w:lang w:eastAsia="zh-CN"/>
              </w:rPr>
              <w:t>★1.1投标人在签订合同之日起 90日历日内交货并安装调试完毕，交付采购人验收。</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1.2签订合同后，如涉及机房装修改造，需立即向医院出具机房装修要求的各种资料。</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r>
              <w:rPr>
                <w:lang w:eastAsia="zh-CN"/>
              </w:rPr>
              <w:t>1.3投标人应提供货物的技术文件，包括但不限于设备配置清单、产品说明书、图纸、操作手册、维护手册（含维修密码及接口数据）、质量保证文件、服务指南等，所有外文资料须提供中文译本。</w:t>
            </w:r>
            <w:proofErr w:type="spellStart"/>
            <w:r>
              <w:t>文件应随货物一并交付至采购人指定地点</w:t>
            </w:r>
            <w:proofErr w:type="spellEnd"/>
            <w:r>
              <w:t>。</w:t>
            </w:r>
          </w:p>
        </w:tc>
      </w:tr>
      <w:tr w:rsidR="00661B30">
        <w:tc>
          <w:tcPr>
            <w:tcW w:w="2880" w:type="dxa"/>
            <w:gridSpan w:val="2"/>
            <w:vMerge/>
          </w:tcPr>
          <w:p w:rsidR="00661B30" w:rsidRDefault="00661B30"/>
        </w:tc>
        <w:tc>
          <w:tcPr>
            <w:tcW w:w="2880" w:type="dxa"/>
            <w:gridSpan w:val="2"/>
            <w:vMerge/>
          </w:tcPr>
          <w:p w:rsidR="00661B30" w:rsidRDefault="00661B30"/>
        </w:tc>
        <w:tc>
          <w:tcPr>
            <w:tcW w:w="2880" w:type="dxa"/>
            <w:gridSpan w:val="2"/>
          </w:tcPr>
          <w:p w:rsidR="00661B30" w:rsidRDefault="00DF3129">
            <w:pPr>
              <w:rPr>
                <w:lang w:eastAsia="zh-CN"/>
              </w:rPr>
            </w:pPr>
            <w:r>
              <w:rPr>
                <w:lang w:eastAsia="zh-CN"/>
              </w:rPr>
              <w:t>1.4提供的货物必须为全新、经检验合格的产品。产品如需要计量检定的应提供相关计量检定部门出具的合法检定报告。其中，进口设备必须具有报关证明文件、原产地证明和商检合格证明文件。</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1.5如涉及机房装修改造，供应商应提供机房内与安装设备直接相关的器具和部件，包括从配电箱到主机的电缆线，专用导轨吊架</w:t>
            </w:r>
            <w:proofErr w:type="gramStart"/>
            <w:r>
              <w:rPr>
                <w:lang w:eastAsia="zh-CN"/>
              </w:rPr>
              <w:t>和地梁钢结构</w:t>
            </w:r>
            <w:proofErr w:type="gramEnd"/>
            <w:r>
              <w:rPr>
                <w:lang w:eastAsia="zh-CN"/>
              </w:rPr>
              <w:t>等设备专用配套配件，采购人仅负责通用要求的放射防护装修。</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661B30">
            <w:pPr>
              <w:rPr>
                <w:lang w:eastAsia="zh-CN"/>
              </w:rPr>
            </w:pPr>
          </w:p>
        </w:tc>
      </w:tr>
      <w:tr w:rsidR="00661B30">
        <w:tc>
          <w:tcPr>
            <w:tcW w:w="2880" w:type="dxa"/>
            <w:gridSpan w:val="2"/>
            <w:vMerge w:val="restart"/>
          </w:tcPr>
          <w:p w:rsidR="00661B30" w:rsidRDefault="00DF3129">
            <w:r>
              <w:t>2</w:t>
            </w:r>
          </w:p>
        </w:tc>
        <w:tc>
          <w:tcPr>
            <w:tcW w:w="2880" w:type="dxa"/>
            <w:gridSpan w:val="2"/>
            <w:vMerge w:val="restart"/>
          </w:tcPr>
          <w:p w:rsidR="00661B30" w:rsidRDefault="00DF3129">
            <w:r>
              <w:t>运输、安装和验收</w:t>
            </w:r>
          </w:p>
        </w:tc>
        <w:tc>
          <w:tcPr>
            <w:tcW w:w="2880" w:type="dxa"/>
            <w:gridSpan w:val="2"/>
          </w:tcPr>
          <w:p w:rsidR="00661B30" w:rsidRDefault="00DF3129">
            <w:pPr>
              <w:rPr>
                <w:lang w:eastAsia="zh-CN"/>
              </w:rPr>
            </w:pPr>
            <w:r>
              <w:rPr>
                <w:lang w:eastAsia="zh-CN"/>
              </w:rPr>
              <w:t>2.1投标人负责将货物安全无损运抵采购人指定地点,并承担设备的包装、运输、保险、装卸、安装调试、培训、商检及计量检测、关税、增值税和进口代理等费用。</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2.4由投标人代表和采购人组成验收小组对产品进行验收。验收标准按照国家规定标准执行。经检验设备正常运作后签署验收报告,产品保修期自验收合格之日起算。</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2.5设备安装过程中不得破坏已有设备、器具和装修，如有损坏，需无条件恢复原状。</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2.7医疗设备的包装箱使用后由中标（成交）供应商负</w:t>
            </w:r>
            <w:r>
              <w:rPr>
                <w:lang w:eastAsia="zh-CN"/>
              </w:rPr>
              <w:lastRenderedPageBreak/>
              <w:t>责处理。</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2.8废气排放、排污等接口无条件改造为医院已有标准和制式。</w:t>
            </w:r>
          </w:p>
        </w:tc>
      </w:tr>
      <w:tr w:rsidR="00661B30">
        <w:tc>
          <w:tcPr>
            <w:tcW w:w="2880" w:type="dxa"/>
            <w:gridSpan w:val="2"/>
          </w:tcPr>
          <w:p w:rsidR="00661B30" w:rsidRDefault="00661B30">
            <w:pPr>
              <w:rPr>
                <w:lang w:eastAsia="zh-CN"/>
              </w:rPr>
            </w:pPr>
          </w:p>
        </w:tc>
        <w:tc>
          <w:tcPr>
            <w:tcW w:w="2880" w:type="dxa"/>
            <w:gridSpan w:val="2"/>
          </w:tcPr>
          <w:p w:rsidR="00661B30" w:rsidRDefault="00661B30">
            <w:pPr>
              <w:rPr>
                <w:lang w:eastAsia="zh-CN"/>
              </w:rPr>
            </w:pPr>
          </w:p>
        </w:tc>
        <w:tc>
          <w:tcPr>
            <w:tcW w:w="2880" w:type="dxa"/>
            <w:gridSpan w:val="2"/>
          </w:tcPr>
          <w:p w:rsidR="00661B30" w:rsidRDefault="00661B30">
            <w:pPr>
              <w:rPr>
                <w:lang w:eastAsia="zh-CN"/>
              </w:rPr>
            </w:pPr>
          </w:p>
        </w:tc>
      </w:tr>
      <w:tr w:rsidR="00661B30">
        <w:tc>
          <w:tcPr>
            <w:tcW w:w="2880" w:type="dxa"/>
            <w:gridSpan w:val="2"/>
          </w:tcPr>
          <w:p w:rsidR="00661B30" w:rsidRDefault="00DF3129">
            <w:r>
              <w:t>3</w:t>
            </w:r>
          </w:p>
        </w:tc>
        <w:tc>
          <w:tcPr>
            <w:tcW w:w="2880" w:type="dxa"/>
            <w:gridSpan w:val="2"/>
          </w:tcPr>
          <w:p w:rsidR="00661B30" w:rsidRDefault="00DF3129">
            <w:r>
              <w:t>培训</w:t>
            </w:r>
          </w:p>
        </w:tc>
        <w:tc>
          <w:tcPr>
            <w:tcW w:w="2880" w:type="dxa"/>
            <w:gridSpan w:val="2"/>
          </w:tcPr>
          <w:p w:rsidR="00661B30" w:rsidRDefault="00DF3129">
            <w:pPr>
              <w:rPr>
                <w:lang w:eastAsia="zh-CN"/>
              </w:rPr>
            </w:pPr>
            <w:r>
              <w:rPr>
                <w:lang w:eastAsia="zh-CN"/>
              </w:rP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rsidR="00661B30">
        <w:tc>
          <w:tcPr>
            <w:tcW w:w="2880" w:type="dxa"/>
            <w:gridSpan w:val="2"/>
            <w:vMerge w:val="restart"/>
          </w:tcPr>
          <w:p w:rsidR="00661B30" w:rsidRDefault="00DF3129">
            <w:r>
              <w:t>4</w:t>
            </w:r>
          </w:p>
        </w:tc>
        <w:tc>
          <w:tcPr>
            <w:tcW w:w="2880" w:type="dxa"/>
            <w:gridSpan w:val="2"/>
            <w:vMerge w:val="restart"/>
          </w:tcPr>
          <w:p w:rsidR="00661B30" w:rsidRDefault="00DF3129">
            <w:r>
              <w:t>知识产权</w:t>
            </w:r>
          </w:p>
        </w:tc>
        <w:tc>
          <w:tcPr>
            <w:tcW w:w="2880" w:type="dxa"/>
            <w:gridSpan w:val="2"/>
          </w:tcPr>
          <w:p w:rsidR="00661B30" w:rsidRDefault="00DF3129">
            <w:pPr>
              <w:rPr>
                <w:lang w:eastAsia="zh-CN"/>
              </w:rPr>
            </w:pPr>
            <w:r>
              <w:rPr>
                <w:lang w:eastAsia="zh-CN"/>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4.2采购人购买产品后，有权对该产品与其他设备进行配套、整合或适当改进，而免受侵犯专利权的起诉。</w:t>
            </w:r>
          </w:p>
        </w:tc>
      </w:tr>
      <w:tr w:rsidR="00661B30">
        <w:tc>
          <w:tcPr>
            <w:tcW w:w="2880" w:type="dxa"/>
            <w:gridSpan w:val="2"/>
          </w:tcPr>
          <w:p w:rsidR="00661B30" w:rsidRDefault="00DF3129">
            <w:r>
              <w:t>5</w:t>
            </w:r>
          </w:p>
        </w:tc>
        <w:tc>
          <w:tcPr>
            <w:tcW w:w="2880" w:type="dxa"/>
            <w:gridSpan w:val="2"/>
          </w:tcPr>
          <w:p w:rsidR="00661B30" w:rsidRDefault="00DF3129">
            <w:r>
              <w:t>付款方式</w:t>
            </w:r>
          </w:p>
        </w:tc>
        <w:tc>
          <w:tcPr>
            <w:tcW w:w="2880" w:type="dxa"/>
            <w:gridSpan w:val="2"/>
          </w:tcPr>
          <w:p w:rsidR="00661B30" w:rsidRDefault="00DF3129">
            <w:pPr>
              <w:rPr>
                <w:lang w:eastAsia="zh-CN"/>
              </w:rPr>
            </w:pPr>
            <w:r>
              <w:rPr>
                <w:lang w:eastAsia="zh-CN"/>
              </w:rP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rsidR="00661B30">
        <w:tc>
          <w:tcPr>
            <w:tcW w:w="2880" w:type="dxa"/>
            <w:gridSpan w:val="2"/>
            <w:vMerge w:val="restart"/>
          </w:tcPr>
          <w:p w:rsidR="00661B30" w:rsidRDefault="00DF3129">
            <w:r>
              <w:t>6</w:t>
            </w:r>
          </w:p>
        </w:tc>
        <w:tc>
          <w:tcPr>
            <w:tcW w:w="2880" w:type="dxa"/>
            <w:gridSpan w:val="2"/>
            <w:vMerge w:val="restart"/>
          </w:tcPr>
          <w:p w:rsidR="00661B30" w:rsidRDefault="00DF3129">
            <w:r>
              <w:t>违约责任</w:t>
            </w:r>
          </w:p>
        </w:tc>
        <w:tc>
          <w:tcPr>
            <w:tcW w:w="2880" w:type="dxa"/>
            <w:gridSpan w:val="2"/>
          </w:tcPr>
          <w:p w:rsidR="00661B30" w:rsidRDefault="00DF3129">
            <w:pPr>
              <w:rPr>
                <w:lang w:eastAsia="zh-CN"/>
              </w:rPr>
            </w:pPr>
            <w:r>
              <w:rPr>
                <w:lang w:eastAsia="zh-CN"/>
              </w:rPr>
              <w:t>6.1中标人不能交货的，需偿付不能交货部分货款的  10% 的违约金并按主管部门相关规定处理。</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6.2中标人逾期交货的，将被没收履约保证金并按主管部门相关规定处理。</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DF3129">
            <w:pPr>
              <w:rPr>
                <w:lang w:eastAsia="zh-CN"/>
              </w:rPr>
            </w:pPr>
            <w:r>
              <w:rPr>
                <w:lang w:eastAsia="zh-CN"/>
              </w:rP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661B30">
            <w:pPr>
              <w:rPr>
                <w:lang w:eastAsia="zh-CN"/>
              </w:rPr>
            </w:pPr>
          </w:p>
        </w:tc>
      </w:tr>
      <w:tr w:rsidR="00661B30">
        <w:tc>
          <w:tcPr>
            <w:tcW w:w="2880" w:type="dxa"/>
            <w:gridSpan w:val="2"/>
            <w:vMerge/>
          </w:tcPr>
          <w:p w:rsidR="00661B30" w:rsidRDefault="00661B30">
            <w:pPr>
              <w:rPr>
                <w:lang w:eastAsia="zh-CN"/>
              </w:rPr>
            </w:pPr>
          </w:p>
        </w:tc>
        <w:tc>
          <w:tcPr>
            <w:tcW w:w="2880" w:type="dxa"/>
            <w:gridSpan w:val="2"/>
            <w:vMerge/>
          </w:tcPr>
          <w:p w:rsidR="00661B30" w:rsidRDefault="00661B30">
            <w:pPr>
              <w:rPr>
                <w:lang w:eastAsia="zh-CN"/>
              </w:rPr>
            </w:pPr>
          </w:p>
        </w:tc>
        <w:tc>
          <w:tcPr>
            <w:tcW w:w="2880" w:type="dxa"/>
            <w:gridSpan w:val="2"/>
          </w:tcPr>
          <w:p w:rsidR="00661B30" w:rsidRDefault="00661B30">
            <w:pPr>
              <w:rPr>
                <w:lang w:eastAsia="zh-CN"/>
              </w:rPr>
            </w:pPr>
          </w:p>
        </w:tc>
      </w:tr>
      <w:tr w:rsidR="00661B30">
        <w:tc>
          <w:tcPr>
            <w:tcW w:w="2880" w:type="dxa"/>
            <w:gridSpan w:val="2"/>
          </w:tcPr>
          <w:p w:rsidR="00661B30" w:rsidRDefault="00DF3129">
            <w:r>
              <w:t>7</w:t>
            </w:r>
          </w:p>
        </w:tc>
        <w:tc>
          <w:tcPr>
            <w:tcW w:w="2880" w:type="dxa"/>
            <w:gridSpan w:val="2"/>
          </w:tcPr>
          <w:p w:rsidR="00661B30" w:rsidRDefault="00DF3129">
            <w:r>
              <w:t>数据接口要求</w:t>
            </w:r>
          </w:p>
        </w:tc>
        <w:tc>
          <w:tcPr>
            <w:tcW w:w="2880" w:type="dxa"/>
            <w:gridSpan w:val="2"/>
          </w:tcPr>
          <w:p w:rsidR="00661B30" w:rsidRDefault="00DF3129">
            <w:pPr>
              <w:rPr>
                <w:lang w:eastAsia="zh-CN"/>
              </w:rPr>
            </w:pPr>
            <w:r>
              <w:rPr>
                <w:lang w:eastAsia="zh-CN"/>
              </w:rPr>
              <w:t>7.1中标（成交）供应商应无偿配合医院信息科将设备连接到信息系统中，连接信息系统过程中如需产生费用则由其承担。中标（成交）供应商不能向医院信息系统如HIS、PACS、LIS等提出另行支付接口费等费用。</w:t>
            </w:r>
          </w:p>
        </w:tc>
      </w:tr>
      <w:tr w:rsidR="00661B30">
        <w:tc>
          <w:tcPr>
            <w:tcW w:w="2880" w:type="dxa"/>
            <w:gridSpan w:val="2"/>
          </w:tcPr>
          <w:p w:rsidR="00661B30" w:rsidRDefault="00DF3129">
            <w:r>
              <w:t>8</w:t>
            </w:r>
          </w:p>
        </w:tc>
        <w:tc>
          <w:tcPr>
            <w:tcW w:w="2880" w:type="dxa"/>
            <w:gridSpan w:val="2"/>
          </w:tcPr>
          <w:p w:rsidR="00661B30" w:rsidRDefault="00DF3129">
            <w:r>
              <w:t>其他</w:t>
            </w:r>
          </w:p>
        </w:tc>
        <w:tc>
          <w:tcPr>
            <w:tcW w:w="2880" w:type="dxa"/>
            <w:gridSpan w:val="2"/>
          </w:tcPr>
          <w:p w:rsidR="00661B30" w:rsidRDefault="00DF3129">
            <w:pPr>
              <w:rPr>
                <w:lang w:eastAsia="zh-CN"/>
              </w:rPr>
            </w:pPr>
            <w:r>
              <w:rPr>
                <w:lang w:eastAsia="zh-CN"/>
              </w:rPr>
              <w:t>8.1投标人应按其投标文件中的承诺，进行其他售后服务工作。</w:t>
            </w:r>
          </w:p>
        </w:tc>
      </w:tr>
      <w:tr w:rsidR="00661B30">
        <w:tc>
          <w:tcPr>
            <w:tcW w:w="1440" w:type="dxa"/>
            <w:vMerge w:val="restart"/>
          </w:tcPr>
          <w:p w:rsidR="00661B30" w:rsidRDefault="00DF3129">
            <w:r>
              <w:t>9</w:t>
            </w:r>
          </w:p>
        </w:tc>
        <w:tc>
          <w:tcPr>
            <w:tcW w:w="1440" w:type="dxa"/>
          </w:tcPr>
          <w:p w:rsidR="00661B30" w:rsidRDefault="00DF3129">
            <w:r>
              <w:t>配件名称</w:t>
            </w:r>
          </w:p>
        </w:tc>
        <w:tc>
          <w:tcPr>
            <w:tcW w:w="1440" w:type="dxa"/>
          </w:tcPr>
          <w:p w:rsidR="00661B30" w:rsidRDefault="00DF3129">
            <w:r>
              <w:t>单位</w:t>
            </w:r>
          </w:p>
        </w:tc>
        <w:tc>
          <w:tcPr>
            <w:tcW w:w="1440" w:type="dxa"/>
          </w:tcPr>
          <w:p w:rsidR="00661B30" w:rsidRDefault="00DF3129">
            <w:r>
              <w:t>单价</w:t>
            </w:r>
          </w:p>
        </w:tc>
        <w:tc>
          <w:tcPr>
            <w:tcW w:w="1440" w:type="dxa"/>
          </w:tcPr>
          <w:p w:rsidR="00661B30" w:rsidRDefault="00DF3129">
            <w:r>
              <w:t>生产厂商</w:t>
            </w:r>
          </w:p>
        </w:tc>
        <w:tc>
          <w:tcPr>
            <w:tcW w:w="1440" w:type="dxa"/>
          </w:tcPr>
          <w:p w:rsidR="00661B30" w:rsidRDefault="00DF3129">
            <w:r>
              <w:t>备注</w:t>
            </w:r>
          </w:p>
        </w:tc>
      </w:tr>
      <w:tr w:rsidR="00661B30">
        <w:tc>
          <w:tcPr>
            <w:tcW w:w="1440" w:type="dxa"/>
            <w:vMerge/>
          </w:tcPr>
          <w:p w:rsidR="00661B30" w:rsidRDefault="00661B30"/>
        </w:tc>
        <w:tc>
          <w:tcPr>
            <w:tcW w:w="1440" w:type="dxa"/>
          </w:tcPr>
          <w:p w:rsidR="00661B30" w:rsidRDefault="00661B30"/>
        </w:tc>
        <w:tc>
          <w:tcPr>
            <w:tcW w:w="1440" w:type="dxa"/>
          </w:tcPr>
          <w:p w:rsidR="00661B30" w:rsidRDefault="00661B30"/>
        </w:tc>
        <w:tc>
          <w:tcPr>
            <w:tcW w:w="1440" w:type="dxa"/>
          </w:tcPr>
          <w:p w:rsidR="00661B30" w:rsidRDefault="00661B30"/>
        </w:tc>
        <w:tc>
          <w:tcPr>
            <w:tcW w:w="1440" w:type="dxa"/>
          </w:tcPr>
          <w:p w:rsidR="00661B30" w:rsidRDefault="00661B30"/>
        </w:tc>
        <w:tc>
          <w:tcPr>
            <w:tcW w:w="1440" w:type="dxa"/>
          </w:tcPr>
          <w:p w:rsidR="00661B30" w:rsidRDefault="00661B30"/>
        </w:tc>
      </w:tr>
    </w:tbl>
    <w:p w:rsidR="00DF3129" w:rsidRDefault="00DF3129"/>
    <w:sectPr w:rsidR="00DF312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661B30"/>
    <w:rsid w:val="0094642D"/>
    <w:rsid w:val="009C4FF8"/>
    <w:rsid w:val="00AA1D8D"/>
    <w:rsid w:val="00B47730"/>
    <w:rsid w:val="00CB0664"/>
    <w:rsid w:val="00DF312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rPr>
      <w:rFonts w:ascii="宋体" w:eastAsia="宋体" w:hAnsi="宋体"/>
    </w:rPr>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标题 Char"/>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1"/>
    <w:next w:val="a1"/>
    <w:link w:val="Char0"/>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2"/>
    <w:link w:val="a7"/>
    <w:uiPriority w:val="11"/>
    <w:rsid w:val="00FC693F"/>
    <w:rPr>
      <w:rFonts w:asciiTheme="majorHAnsi" w:eastAsiaTheme="majorEastAsia" w:hAnsiTheme="majorHAnsi" w:cstheme="majorBidi"/>
      <w:i/>
      <w:iCs/>
      <w:color w:val="4F81BD" w:themeColor="accent1"/>
      <w:spacing w:val="15"/>
      <w:sz w:val="24"/>
      <w:szCs w:val="24"/>
    </w:rPr>
  </w:style>
  <w:style w:type="paragraph" w:styleId="a8">
    <w:name w:val="List Paragraph"/>
    <w:basedOn w:val="a1"/>
    <w:uiPriority w:val="34"/>
    <w:qFormat/>
    <w:rsid w:val="00FC693F"/>
    <w:pPr>
      <w:ind w:left="720"/>
      <w:contextualSpacing/>
    </w:pPr>
  </w:style>
  <w:style w:type="paragraph" w:styleId="a9">
    <w:name w:val="Body Text"/>
    <w:basedOn w:val="a1"/>
    <w:link w:val="Char1"/>
    <w:uiPriority w:val="99"/>
    <w:unhideWhenUsed/>
    <w:rsid w:val="00AA1D8D"/>
    <w:pPr>
      <w:spacing w:after="120"/>
    </w:pPr>
  </w:style>
  <w:style w:type="character" w:customStyle="1" w:styleId="Char1">
    <w:name w:val="正文文本 Char"/>
    <w:basedOn w:val="a2"/>
    <w:link w:val="a9"/>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a">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b">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c">
    <w:name w:val="macro"/>
    <w:link w:val="Char2"/>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2">
    <w:name w:val="宏文本 Char"/>
    <w:basedOn w:val="a2"/>
    <w:link w:val="ac"/>
    <w:uiPriority w:val="99"/>
    <w:rsid w:val="0029639D"/>
    <w:rPr>
      <w:rFonts w:ascii="Courier" w:hAnsi="Courier"/>
      <w:sz w:val="20"/>
      <w:szCs w:val="20"/>
    </w:rPr>
  </w:style>
  <w:style w:type="paragraph" w:styleId="ad">
    <w:name w:val="Quote"/>
    <w:basedOn w:val="a1"/>
    <w:next w:val="a1"/>
    <w:link w:val="Char3"/>
    <w:uiPriority w:val="29"/>
    <w:qFormat/>
    <w:rsid w:val="00FC693F"/>
    <w:rPr>
      <w:i/>
      <w:iCs/>
      <w:color w:val="000000" w:themeColor="text1"/>
    </w:rPr>
  </w:style>
  <w:style w:type="character" w:customStyle="1" w:styleId="Char3">
    <w:name w:val="引用 Char"/>
    <w:basedOn w:val="a2"/>
    <w:link w:val="ad"/>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e">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
    <w:name w:val="Strong"/>
    <w:basedOn w:val="a2"/>
    <w:uiPriority w:val="22"/>
    <w:qFormat/>
    <w:rsid w:val="00FC693F"/>
    <w:rPr>
      <w:b/>
      <w:bCs/>
    </w:rPr>
  </w:style>
  <w:style w:type="character" w:styleId="af0">
    <w:name w:val="Emphasis"/>
    <w:basedOn w:val="a2"/>
    <w:uiPriority w:val="20"/>
    <w:qFormat/>
    <w:rsid w:val="00FC693F"/>
    <w:rPr>
      <w:i/>
      <w:iCs/>
    </w:rPr>
  </w:style>
  <w:style w:type="paragraph" w:styleId="af1">
    <w:name w:val="Intense Quote"/>
    <w:basedOn w:val="a1"/>
    <w:next w:val="a1"/>
    <w:link w:val="Char4"/>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4">
    <w:name w:val="明显引用 Char"/>
    <w:basedOn w:val="a2"/>
    <w:link w:val="af1"/>
    <w:uiPriority w:val="30"/>
    <w:rsid w:val="00FC693F"/>
    <w:rPr>
      <w:b/>
      <w:bCs/>
      <w:i/>
      <w:iCs/>
      <w:color w:val="4F81BD" w:themeColor="accent1"/>
    </w:rPr>
  </w:style>
  <w:style w:type="character" w:styleId="af2">
    <w:name w:val="Subtle Emphasis"/>
    <w:basedOn w:val="a2"/>
    <w:uiPriority w:val="19"/>
    <w:qFormat/>
    <w:rsid w:val="00FC693F"/>
    <w:rPr>
      <w:i/>
      <w:iCs/>
      <w:color w:val="808080" w:themeColor="text1" w:themeTint="7F"/>
    </w:rPr>
  </w:style>
  <w:style w:type="character" w:styleId="af3">
    <w:name w:val="Intense Emphasis"/>
    <w:basedOn w:val="a2"/>
    <w:uiPriority w:val="21"/>
    <w:qFormat/>
    <w:rsid w:val="00FC693F"/>
    <w:rPr>
      <w:b/>
      <w:bCs/>
      <w:i/>
      <w:iCs/>
      <w:color w:val="4F81BD" w:themeColor="accent1"/>
    </w:rPr>
  </w:style>
  <w:style w:type="character" w:styleId="af4">
    <w:name w:val="Subtle Reference"/>
    <w:basedOn w:val="a2"/>
    <w:uiPriority w:val="31"/>
    <w:qFormat/>
    <w:rsid w:val="00FC693F"/>
    <w:rPr>
      <w:smallCaps/>
      <w:color w:val="C0504D" w:themeColor="accent2"/>
      <w:u w:val="single"/>
    </w:rPr>
  </w:style>
  <w:style w:type="character" w:styleId="af5">
    <w:name w:val="Intense Reference"/>
    <w:basedOn w:val="a2"/>
    <w:uiPriority w:val="32"/>
    <w:qFormat/>
    <w:rsid w:val="00FC693F"/>
    <w:rPr>
      <w:b/>
      <w:bCs/>
      <w:smallCaps/>
      <w:color w:val="C0504D" w:themeColor="accent2"/>
      <w:spacing w:val="5"/>
      <w:u w:val="single"/>
    </w:rPr>
  </w:style>
  <w:style w:type="character" w:styleId="af6">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7">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9">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a">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C7EDC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C7EDCC"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C7EDCC"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C7EDCC"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C7EDCC"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C7EDCC"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C7EDCC"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C7EDCC" w:themeFill="background1"/>
      </w:tcPr>
    </w:tblStylePr>
    <w:tblStylePr w:type="firstCol">
      <w:rPr>
        <w:b/>
        <w:bCs/>
        <w:color w:val="C7EDCC"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C7EDCC"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94DC9D" w:themeFill="background1" w:themeFillShade="D8"/>
      </w:tcPr>
    </w:tblStylePr>
    <w:tblStylePr w:type="band1Horz">
      <w:tblPr/>
      <w:tcPr>
        <w:shd w:val="clear" w:color="auto" w:fill="94DC9D"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C7EDCC"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C7EDCC" w:themeFill="background1"/>
      </w:tcPr>
    </w:tblStylePr>
    <w:tblStylePr w:type="lastRow">
      <w:tblPr/>
      <w:tcPr>
        <w:tcBorders>
          <w:top w:val="single" w:sz="8" w:space="0" w:color="000000" w:themeColor="tex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000000" w:themeColor="text1"/>
          <w:insideH w:val="nil"/>
          <w:insideV w:val="nil"/>
        </w:tcBorders>
        <w:shd w:val="clear" w:color="auto" w:fill="C7EDCC" w:themeFill="background1"/>
      </w:tcPr>
    </w:tblStylePr>
    <w:tblStylePr w:type="lastCol">
      <w:tblPr/>
      <w:tcPr>
        <w:tcBorders>
          <w:top w:val="nil"/>
          <w:left w:val="single" w:sz="8" w:space="0" w:color="000000" w:themeColor="tex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C7EDCC"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C7EDCC" w:themeFill="background1"/>
      </w:tcPr>
    </w:tblStylePr>
    <w:tblStylePr w:type="lastRow">
      <w:tblPr/>
      <w:tcPr>
        <w:tcBorders>
          <w:top w:val="single" w:sz="8" w:space="0" w:color="4F81BD" w:themeColor="accent1"/>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F81BD" w:themeColor="accent1"/>
          <w:insideH w:val="nil"/>
          <w:insideV w:val="nil"/>
        </w:tcBorders>
        <w:shd w:val="clear" w:color="auto" w:fill="C7EDCC" w:themeFill="background1"/>
      </w:tcPr>
    </w:tblStylePr>
    <w:tblStylePr w:type="lastCol">
      <w:tblPr/>
      <w:tcPr>
        <w:tcBorders>
          <w:top w:val="nil"/>
          <w:left w:val="single" w:sz="8" w:space="0" w:color="4F81BD" w:themeColor="accent1"/>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C7EDCC"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tblPr/>
      <w:tcPr>
        <w:tcBorders>
          <w:top w:val="single" w:sz="8" w:space="0" w:color="C0504D" w:themeColor="accent2"/>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C0504D" w:themeColor="accent2"/>
          <w:insideH w:val="nil"/>
          <w:insideV w:val="nil"/>
        </w:tcBorders>
        <w:shd w:val="clear" w:color="auto" w:fill="C7EDCC" w:themeFill="background1"/>
      </w:tcPr>
    </w:tblStylePr>
    <w:tblStylePr w:type="lastCol">
      <w:tblPr/>
      <w:tcPr>
        <w:tcBorders>
          <w:top w:val="nil"/>
          <w:left w:val="single" w:sz="8" w:space="0" w:color="C0504D" w:themeColor="accent2"/>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C7EDCC"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tblPr/>
      <w:tcPr>
        <w:tcBorders>
          <w:top w:val="single" w:sz="8" w:space="0" w:color="9BBB59" w:themeColor="accent3"/>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9BBB59" w:themeColor="accent3"/>
          <w:insideH w:val="nil"/>
          <w:insideV w:val="nil"/>
        </w:tcBorders>
        <w:shd w:val="clear" w:color="auto" w:fill="C7EDCC" w:themeFill="background1"/>
      </w:tcPr>
    </w:tblStylePr>
    <w:tblStylePr w:type="lastCol">
      <w:tblPr/>
      <w:tcPr>
        <w:tcBorders>
          <w:top w:val="nil"/>
          <w:left w:val="single" w:sz="8" w:space="0" w:color="9BBB59" w:themeColor="accent3"/>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C7EDCC"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tblPr/>
      <w:tcPr>
        <w:tcBorders>
          <w:top w:val="single" w:sz="8" w:space="0" w:color="8064A2" w:themeColor="accent4"/>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8064A2" w:themeColor="accent4"/>
          <w:insideH w:val="nil"/>
          <w:insideV w:val="nil"/>
        </w:tcBorders>
        <w:shd w:val="clear" w:color="auto" w:fill="C7EDCC" w:themeFill="background1"/>
      </w:tcPr>
    </w:tblStylePr>
    <w:tblStylePr w:type="lastCol">
      <w:tblPr/>
      <w:tcPr>
        <w:tcBorders>
          <w:top w:val="nil"/>
          <w:left w:val="single" w:sz="8" w:space="0" w:color="8064A2" w:themeColor="accent4"/>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C7EDCC"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tblPr/>
      <w:tcPr>
        <w:tcBorders>
          <w:top w:val="single" w:sz="8" w:space="0" w:color="4BACC6" w:themeColor="accent5"/>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4BACC6" w:themeColor="accent5"/>
          <w:insideH w:val="nil"/>
          <w:insideV w:val="nil"/>
        </w:tcBorders>
        <w:shd w:val="clear" w:color="auto" w:fill="C7EDCC" w:themeFill="background1"/>
      </w:tcPr>
    </w:tblStylePr>
    <w:tblStylePr w:type="lastCol">
      <w:tblPr/>
      <w:tcPr>
        <w:tcBorders>
          <w:top w:val="nil"/>
          <w:left w:val="single" w:sz="8" w:space="0" w:color="4BACC6" w:themeColor="accent5"/>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C7EDCC"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tblPr/>
      <w:tcPr>
        <w:tcBorders>
          <w:top w:val="single" w:sz="8" w:space="0" w:color="F79646" w:themeColor="accent6"/>
          <w:left w:val="nil"/>
          <w:bottom w:val="nil"/>
          <w:right w:val="nil"/>
          <w:insideH w:val="nil"/>
          <w:insideV w:val="nil"/>
        </w:tcBorders>
        <w:shd w:val="clear" w:color="auto" w:fill="C7EDCC" w:themeFill="background1"/>
      </w:tcPr>
    </w:tblStylePr>
    <w:tblStylePr w:type="firstCol">
      <w:tblPr/>
      <w:tcPr>
        <w:tcBorders>
          <w:top w:val="nil"/>
          <w:left w:val="nil"/>
          <w:bottom w:val="nil"/>
          <w:right w:val="single" w:sz="8" w:space="0" w:color="F79646" w:themeColor="accent6"/>
          <w:insideH w:val="nil"/>
          <w:insideV w:val="nil"/>
        </w:tcBorders>
        <w:shd w:val="clear" w:color="auto" w:fill="C7EDCC" w:themeFill="background1"/>
      </w:tcPr>
    </w:tblStylePr>
    <w:tblStylePr w:type="lastCol">
      <w:tblPr/>
      <w:tcPr>
        <w:tcBorders>
          <w:top w:val="nil"/>
          <w:left w:val="single" w:sz="8" w:space="0" w:color="F79646" w:themeColor="accent6"/>
          <w:bottom w:val="nil"/>
          <w:right w:val="nil"/>
          <w:insideH w:val="nil"/>
          <w:insideV w:val="nil"/>
        </w:tcBorders>
        <w:shd w:val="clear" w:color="auto" w:fill="C7EDCC"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C7EDCC"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C7EDCC"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C7EDCC"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C7EDCC"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C7EDCC"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C7EDCC"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C7EDCC"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C7EDCC" w:themeFill="background1"/>
      </w:tcPr>
    </w:tblStylePr>
    <w:tblStylePr w:type="firstCol">
      <w:rPr>
        <w:b/>
        <w:bCs/>
        <w:color w:val="000000" w:themeColor="text1"/>
      </w:rPr>
      <w:tblPr/>
      <w:tcPr>
        <w:tcBorders>
          <w:top w:val="nil"/>
          <w:left w:val="nil"/>
          <w:bottom w:val="nil"/>
          <w:right w:val="nil"/>
          <w:insideH w:val="nil"/>
          <w:insideV w:val="nil"/>
        </w:tcBorders>
        <w:shd w:val="clear" w:color="auto" w:fill="C7EDC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C7EDCC"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000000" w:themeFill="tex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000000" w:themeFill="tex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000000" w:themeFill="tex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808080" w:themeFill="tex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F81BD" w:themeFill="accent1"/>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F81BD" w:themeFill="accent1"/>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F81BD" w:themeFill="accent1"/>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7BFDE" w:themeFill="accent1"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C0504D" w:themeFill="accent2"/>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C0504D" w:themeFill="accent2"/>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C0504D" w:themeFill="accent2"/>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DFA7A6" w:themeFill="accent2"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9BBB59" w:themeFill="accent3"/>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9BBB59" w:themeFill="accent3"/>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9BBB59" w:themeFill="accent3"/>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CDDDAC" w:themeFill="accent3"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8064A2" w:themeFill="accent4"/>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8064A2" w:themeFill="accent4"/>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8064A2" w:themeFill="accent4"/>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BFB1D0" w:themeFill="accent4"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4BACC6" w:themeFill="accent5"/>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4BACC6" w:themeFill="accent5"/>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4BACC6" w:themeFill="accent5"/>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A5D5E2" w:themeFill="accent5"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6" w:space="0" w:color="C7EDCC" w:themeColor="background1"/>
        <w:insideV w:val="single" w:sz="6" w:space="0" w:color="C7EDCC"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C7EDCC" w:themeColor="background1"/>
      </w:rPr>
      <w:tblPr/>
      <w:tcPr>
        <w:tcBorders>
          <w:top w:val="single" w:sz="8" w:space="0" w:color="C7EDCC" w:themeColor="background1"/>
          <w:left w:val="single" w:sz="8" w:space="0" w:color="C7EDCC" w:themeColor="background1"/>
          <w:bottom w:val="single" w:sz="24"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lastRow">
      <w:rPr>
        <w:b/>
        <w:bCs/>
        <w:i w:val="0"/>
        <w:iCs w:val="0"/>
        <w:color w:val="C7EDCC" w:themeColor="background1"/>
      </w:rPr>
      <w:tblPr/>
      <w:tcPr>
        <w:tcBorders>
          <w:top w:val="single" w:sz="24" w:space="0" w:color="C7EDCC" w:themeColor="background1"/>
          <w:left w:val="single" w:sz="8" w:space="0" w:color="C7EDCC" w:themeColor="background1"/>
          <w:bottom w:val="single" w:sz="8" w:space="0" w:color="C7EDCC" w:themeColor="background1"/>
          <w:right w:val="single" w:sz="8" w:space="0" w:color="C7EDCC" w:themeColor="background1"/>
          <w:insideH w:val="nil"/>
          <w:insideV w:val="single" w:sz="8" w:space="0" w:color="C7EDCC" w:themeColor="background1"/>
        </w:tcBorders>
        <w:shd w:val="clear" w:color="auto" w:fill="F79646" w:themeFill="accent6"/>
      </w:tcPr>
    </w:tblStylePr>
    <w:tblStylePr w:type="firstCol">
      <w:rPr>
        <w:b/>
        <w:bCs/>
        <w:i w:val="0"/>
        <w:iCs w:val="0"/>
        <w:color w:val="C7EDCC" w:themeColor="background1"/>
      </w:rPr>
      <w:tblPr/>
      <w:tcPr>
        <w:tcBorders>
          <w:left w:val="single" w:sz="8" w:space="0" w:color="C7EDCC" w:themeColor="background1"/>
          <w:right w:val="single" w:sz="24" w:space="0" w:color="C7EDCC" w:themeColor="background1"/>
          <w:insideH w:val="nil"/>
          <w:insideV w:val="nil"/>
        </w:tcBorders>
        <w:shd w:val="clear" w:color="auto" w:fill="F79646" w:themeFill="accent6"/>
      </w:tcPr>
    </w:tblStylePr>
    <w:tblStylePr w:type="lastCol">
      <w:rPr>
        <w:b/>
        <w:bCs/>
        <w:i w:val="0"/>
        <w:iCs w:val="0"/>
        <w:color w:val="C7EDCC" w:themeColor="background1"/>
      </w:rPr>
      <w:tblPr/>
      <w:tcPr>
        <w:tcBorders>
          <w:top w:val="nil"/>
          <w:left w:val="single" w:sz="24" w:space="0" w:color="C7EDCC" w:themeColor="background1"/>
          <w:bottom w:val="nil"/>
          <w:right w:val="nil"/>
          <w:insideH w:val="nil"/>
          <w:insideV w:val="nil"/>
        </w:tcBorders>
        <w:shd w:val="clear" w:color="auto" w:fill="F79646" w:themeFill="accent6"/>
      </w:tcPr>
    </w:tblStylePr>
    <w:tblStylePr w:type="band1Vert">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nil"/>
          <w:insideV w:val="nil"/>
        </w:tcBorders>
        <w:shd w:val="clear" w:color="auto" w:fill="FBCAA2" w:themeFill="accent6" w:themeFillTint="7F"/>
      </w:tcPr>
    </w:tblStylePr>
    <w:tblStylePr w:type="band1Horz">
      <w:tblPr/>
      <w:tcPr>
        <w:tcBorders>
          <w:top w:val="single" w:sz="8" w:space="0" w:color="C7EDCC" w:themeColor="background1"/>
          <w:left w:val="single" w:sz="8" w:space="0" w:color="C7EDCC" w:themeColor="background1"/>
          <w:bottom w:val="single" w:sz="8" w:space="0" w:color="C7EDCC" w:themeColor="background1"/>
          <w:right w:val="single" w:sz="8" w:space="0" w:color="C7EDCC" w:themeColor="background1"/>
          <w:insideH w:val="single" w:sz="8" w:space="0" w:color="C7EDCC" w:themeColor="background1"/>
          <w:insideV w:val="single" w:sz="8" w:space="0" w:color="C7EDCC" w:themeColor="background1"/>
        </w:tcBorders>
        <w:shd w:val="clear" w:color="auto" w:fill="FBCAA2" w:themeFill="accent6" w:themeFillTint="7F"/>
      </w:tcPr>
    </w:tblStylePr>
  </w:style>
  <w:style w:type="table" w:styleId="afb">
    <w:name w:val="Dark List"/>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C7EDCC" w:themeColor="background1"/>
          <w:insideH w:val="nil"/>
          <w:insideV w:val="nil"/>
        </w:tcBorders>
        <w:shd w:val="clear" w:color="auto" w:fill="000000" w:themeFill="text1" w:themeFillShade="BF"/>
      </w:tcPr>
    </w:tblStylePr>
    <w:tblStylePr w:type="lastCol">
      <w:tblPr/>
      <w:tcPr>
        <w:tcBorders>
          <w:top w:val="nil"/>
          <w:left w:val="single" w:sz="18" w:space="0" w:color="C7EDC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C7EDCC" w:themeColor="background1"/>
          <w:insideH w:val="nil"/>
          <w:insideV w:val="nil"/>
        </w:tcBorders>
        <w:shd w:val="clear" w:color="auto" w:fill="365F91" w:themeFill="accent1" w:themeFillShade="BF"/>
      </w:tcPr>
    </w:tblStylePr>
    <w:tblStylePr w:type="lastCol">
      <w:tblPr/>
      <w:tcPr>
        <w:tcBorders>
          <w:top w:val="nil"/>
          <w:left w:val="single" w:sz="18" w:space="0" w:color="C7EDCC"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C7EDCC" w:themeColor="background1"/>
          <w:insideH w:val="nil"/>
          <w:insideV w:val="nil"/>
        </w:tcBorders>
        <w:shd w:val="clear" w:color="auto" w:fill="943634" w:themeFill="accent2" w:themeFillShade="BF"/>
      </w:tcPr>
    </w:tblStylePr>
    <w:tblStylePr w:type="lastCol">
      <w:tblPr/>
      <w:tcPr>
        <w:tcBorders>
          <w:top w:val="nil"/>
          <w:left w:val="single" w:sz="18" w:space="0" w:color="C7EDCC"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C7EDCC" w:themeColor="background1"/>
          <w:insideH w:val="nil"/>
          <w:insideV w:val="nil"/>
        </w:tcBorders>
        <w:shd w:val="clear" w:color="auto" w:fill="76923C" w:themeFill="accent3" w:themeFillShade="BF"/>
      </w:tcPr>
    </w:tblStylePr>
    <w:tblStylePr w:type="lastCol">
      <w:tblPr/>
      <w:tcPr>
        <w:tcBorders>
          <w:top w:val="nil"/>
          <w:left w:val="single" w:sz="18" w:space="0" w:color="C7EDCC"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C7EDCC" w:themeColor="background1"/>
          <w:insideH w:val="nil"/>
          <w:insideV w:val="nil"/>
        </w:tcBorders>
        <w:shd w:val="clear" w:color="auto" w:fill="5F497A" w:themeFill="accent4" w:themeFillShade="BF"/>
      </w:tcPr>
    </w:tblStylePr>
    <w:tblStylePr w:type="lastCol">
      <w:tblPr/>
      <w:tcPr>
        <w:tcBorders>
          <w:top w:val="nil"/>
          <w:left w:val="single" w:sz="18" w:space="0" w:color="C7EDCC"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C7EDCC" w:themeColor="background1"/>
          <w:insideH w:val="nil"/>
          <w:insideV w:val="nil"/>
        </w:tcBorders>
        <w:shd w:val="clear" w:color="auto" w:fill="31849B" w:themeFill="accent5" w:themeFillShade="BF"/>
      </w:tcPr>
    </w:tblStylePr>
    <w:tblStylePr w:type="lastCol">
      <w:tblPr/>
      <w:tcPr>
        <w:tcBorders>
          <w:top w:val="nil"/>
          <w:left w:val="single" w:sz="18" w:space="0" w:color="C7EDCC"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C7EDCC"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C7EDCC" w:themeColor="background1"/>
          <w:right w:val="nil"/>
          <w:insideH w:val="nil"/>
          <w:insideV w:val="nil"/>
        </w:tcBorders>
        <w:shd w:val="clear" w:color="auto" w:fill="000000" w:themeFill="text1"/>
      </w:tcPr>
    </w:tblStylePr>
    <w:tblStylePr w:type="lastRow">
      <w:tblPr/>
      <w:tcPr>
        <w:tcBorders>
          <w:top w:val="single" w:sz="18" w:space="0" w:color="C7EDCC"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C7EDCC" w:themeColor="background1"/>
          <w:insideH w:val="nil"/>
          <w:insideV w:val="nil"/>
        </w:tcBorders>
        <w:shd w:val="clear" w:color="auto" w:fill="E36C0A" w:themeFill="accent6" w:themeFillShade="BF"/>
      </w:tcPr>
    </w:tblStylePr>
    <w:tblStylePr w:type="lastCol">
      <w:tblPr/>
      <w:tcPr>
        <w:tcBorders>
          <w:top w:val="nil"/>
          <w:left w:val="single" w:sz="18" w:space="0" w:color="C7EDCC"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c">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000000" w:themeFill="text1" w:themeFillShade="99"/>
      </w:tcPr>
    </w:tblStylePr>
    <w:tblStylePr w:type="firstCol">
      <w:rPr>
        <w:color w:val="C7EDC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C7EDC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C4C74" w:themeFill="accent1" w:themeFillShade="99"/>
      </w:tcPr>
    </w:tblStylePr>
    <w:tblStylePr w:type="firstCol">
      <w:rPr>
        <w:color w:val="C7EDCC"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C7EDCC"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772C2A" w:themeFill="accent2" w:themeFillShade="99"/>
      </w:tcPr>
    </w:tblStylePr>
    <w:tblStylePr w:type="firstCol">
      <w:rPr>
        <w:color w:val="C7EDCC"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C7EDCC"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5E7530" w:themeFill="accent3" w:themeFillShade="99"/>
      </w:tcPr>
    </w:tblStylePr>
    <w:tblStylePr w:type="firstCol">
      <w:rPr>
        <w:color w:val="C7EDCC"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C7EDCC"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4C3B62" w:themeFill="accent4" w:themeFillShade="99"/>
      </w:tcPr>
    </w:tblStylePr>
    <w:tblStylePr w:type="firstCol">
      <w:rPr>
        <w:color w:val="C7EDCC"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C7EDCC"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276A7C" w:themeFill="accent5" w:themeFillShade="99"/>
      </w:tcPr>
    </w:tblStylePr>
    <w:tblStylePr w:type="firstCol">
      <w:rPr>
        <w:color w:val="C7EDCC"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C7EDCC"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C7EDCC" w:themeColor="background1"/>
        <w:insideV w:val="single" w:sz="4" w:space="0" w:color="C7EDCC"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C7EDCC" w:themeFill="background1"/>
      </w:tcPr>
    </w:tblStylePr>
    <w:tblStylePr w:type="lastRow">
      <w:rPr>
        <w:b/>
        <w:bCs/>
        <w:color w:val="C7EDCC" w:themeColor="background1"/>
      </w:rPr>
      <w:tblPr/>
      <w:tcPr>
        <w:tcBorders>
          <w:top w:val="single" w:sz="6" w:space="0" w:color="C7EDCC" w:themeColor="background1"/>
        </w:tcBorders>
        <w:shd w:val="clear" w:color="auto" w:fill="B65608" w:themeFill="accent6" w:themeFillShade="99"/>
      </w:tcPr>
    </w:tblStylePr>
    <w:tblStylePr w:type="firstCol">
      <w:rPr>
        <w:color w:val="C7EDCC"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C7EDCC"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d">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C7EDCC" w:themeColor="background1"/>
      </w:rPr>
      <w:tblPr/>
      <w:tcPr>
        <w:tcBorders>
          <w:bottom w:val="single" w:sz="12" w:space="0" w:color="C7EDCC"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C7EDCC" w:themeColor="background1"/>
      </w:rPr>
      <w:tblPr/>
      <w:tcPr>
        <w:tcBorders>
          <w:bottom w:val="single" w:sz="12" w:space="0" w:color="C7EDCC"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C7EDCC" w:themeColor="background1"/>
      </w:rPr>
      <w:tblPr/>
      <w:tcPr>
        <w:tcBorders>
          <w:bottom w:val="single" w:sz="12" w:space="0" w:color="C7EDCC"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C7EDCC" w:themeColor="background1"/>
      </w:rPr>
      <w:tblPr/>
      <w:tcPr>
        <w:tcBorders>
          <w:bottom w:val="single" w:sz="12" w:space="0" w:color="C7EDCC"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C7EDCC" w:themeColor="background1"/>
      </w:rPr>
      <w:tblPr/>
      <w:tcPr>
        <w:tcBorders>
          <w:bottom w:val="single" w:sz="12" w:space="0" w:color="C7EDCC"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C7EDC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e">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C7EDCC" w:themeColor="background1"/>
      </w:rPr>
      <w:tblPr/>
      <w:tcPr>
        <w:shd w:val="clear" w:color="auto" w:fill="000000" w:themeFill="text1" w:themeFillShade="BF"/>
      </w:tcPr>
    </w:tblStylePr>
    <w:tblStylePr w:type="lastCol">
      <w:rPr>
        <w:color w:val="C7EDC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C7EDCC" w:themeColor="background1"/>
      </w:rPr>
      <w:tblPr/>
      <w:tcPr>
        <w:shd w:val="clear" w:color="auto" w:fill="365F91" w:themeFill="accent1" w:themeFillShade="BF"/>
      </w:tcPr>
    </w:tblStylePr>
    <w:tblStylePr w:type="lastCol">
      <w:rPr>
        <w:color w:val="C7EDCC"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C7EDCC" w:themeColor="background1"/>
      </w:rPr>
      <w:tblPr/>
      <w:tcPr>
        <w:shd w:val="clear" w:color="auto" w:fill="943634" w:themeFill="accent2" w:themeFillShade="BF"/>
      </w:tcPr>
    </w:tblStylePr>
    <w:tblStylePr w:type="lastCol">
      <w:rPr>
        <w:color w:val="C7EDCC"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C7EDCC" w:themeColor="background1"/>
      </w:rPr>
      <w:tblPr/>
      <w:tcPr>
        <w:shd w:val="clear" w:color="auto" w:fill="76923C" w:themeFill="accent3" w:themeFillShade="BF"/>
      </w:tcPr>
    </w:tblStylePr>
    <w:tblStylePr w:type="lastCol">
      <w:rPr>
        <w:color w:val="C7EDCC"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C7EDCC" w:themeColor="background1"/>
      </w:rPr>
      <w:tblPr/>
      <w:tcPr>
        <w:shd w:val="clear" w:color="auto" w:fill="5F497A" w:themeFill="accent4" w:themeFillShade="BF"/>
      </w:tcPr>
    </w:tblStylePr>
    <w:tblStylePr w:type="lastCol">
      <w:rPr>
        <w:color w:val="C7EDCC"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C7EDCC" w:themeColor="background1"/>
      </w:rPr>
      <w:tblPr/>
      <w:tcPr>
        <w:shd w:val="clear" w:color="auto" w:fill="31849B" w:themeFill="accent5" w:themeFillShade="BF"/>
      </w:tcPr>
    </w:tblStylePr>
    <w:tblStylePr w:type="lastCol">
      <w:rPr>
        <w:color w:val="C7EDCC"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C7EDCC"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C7EDCC" w:themeColor="background1"/>
      </w:rPr>
      <w:tblPr/>
      <w:tcPr>
        <w:shd w:val="clear" w:color="auto" w:fill="E36C0A" w:themeFill="accent6" w:themeFillShade="BF"/>
      </w:tcPr>
    </w:tblStylePr>
    <w:tblStylePr w:type="lastCol">
      <w:rPr>
        <w:color w:val="C7EDCC"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F7DC-EACC-40F5-A4F4-728BC075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Windows User</cp:lastModifiedBy>
  <cp:revision>3</cp:revision>
  <dcterms:created xsi:type="dcterms:W3CDTF">2013-12-23T23:15:00Z</dcterms:created>
  <dcterms:modified xsi:type="dcterms:W3CDTF">2021-11-02T01:31:00Z</dcterms:modified>
  <cp:category/>
</cp:coreProperties>
</file>