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70" w:rsidRDefault="000D2EA5">
      <w:r>
        <w:t>一、具体技术要求</w:t>
      </w:r>
    </w:p>
    <w:tbl>
      <w:tblPr>
        <w:tblStyle w:val="af7"/>
        <w:tblW w:w="0" w:type="auto"/>
        <w:tblLook w:val="04A0" w:firstRow="1" w:lastRow="0" w:firstColumn="1" w:lastColumn="0" w:noHBand="0" w:noVBand="1"/>
      </w:tblPr>
      <w:tblGrid>
        <w:gridCol w:w="2160"/>
        <w:gridCol w:w="2160"/>
        <w:gridCol w:w="2160"/>
        <w:gridCol w:w="2160"/>
      </w:tblGrid>
      <w:tr w:rsidR="00206F70">
        <w:tc>
          <w:tcPr>
            <w:tcW w:w="2160" w:type="dxa"/>
          </w:tcPr>
          <w:p w:rsidR="00206F70" w:rsidRDefault="000D2EA5">
            <w:r>
              <w:t>序号</w:t>
            </w:r>
          </w:p>
        </w:tc>
        <w:tc>
          <w:tcPr>
            <w:tcW w:w="2160" w:type="dxa"/>
          </w:tcPr>
          <w:p w:rsidR="00206F70" w:rsidRDefault="000D2EA5">
            <w:r>
              <w:t>货物名称</w:t>
            </w:r>
          </w:p>
        </w:tc>
        <w:tc>
          <w:tcPr>
            <w:tcW w:w="4320" w:type="dxa"/>
            <w:gridSpan w:val="2"/>
          </w:tcPr>
          <w:p w:rsidR="00206F70" w:rsidRDefault="000D2EA5">
            <w:r>
              <w:t>技术要求</w:t>
            </w:r>
          </w:p>
        </w:tc>
      </w:tr>
      <w:tr w:rsidR="00206F70">
        <w:tc>
          <w:tcPr>
            <w:tcW w:w="4320" w:type="dxa"/>
            <w:gridSpan w:val="2"/>
          </w:tcPr>
          <w:p w:rsidR="00206F70" w:rsidRDefault="000D2EA5">
            <w:r>
              <w:t>总体要求</w:t>
            </w:r>
          </w:p>
        </w:tc>
        <w:tc>
          <w:tcPr>
            <w:tcW w:w="4320" w:type="dxa"/>
            <w:gridSpan w:val="2"/>
          </w:tcPr>
          <w:p w:rsidR="00206F70" w:rsidRDefault="000D2EA5">
            <w:pPr>
              <w:rPr>
                <w:lang w:eastAsia="zh-CN"/>
              </w:rPr>
            </w:pPr>
            <w:r>
              <w:rPr>
                <w:lang w:eastAsia="zh-CN"/>
              </w:rPr>
              <w:t>中医定向药</w:t>
            </w:r>
            <w:proofErr w:type="gramStart"/>
            <w:r>
              <w:rPr>
                <w:lang w:eastAsia="zh-CN"/>
              </w:rPr>
              <w:t>透仪技术</w:t>
            </w:r>
            <w:proofErr w:type="gramEnd"/>
            <w:r>
              <w:rPr>
                <w:lang w:eastAsia="zh-CN"/>
              </w:rPr>
              <w:t>参数</w:t>
            </w:r>
            <w:r>
              <w:rPr>
                <w:lang w:eastAsia="zh-CN"/>
              </w:rPr>
              <w:br/>
            </w:r>
            <w:r>
              <w:rPr>
                <w:lang w:eastAsia="zh-CN"/>
              </w:rPr>
              <w:br/>
              <w:t>1.</w:t>
            </w:r>
            <w:r>
              <w:rPr>
                <w:lang w:eastAsia="zh-CN"/>
              </w:rPr>
              <w:t>适用于药物经皮渗透导入，药物经皮渗透导入治疗，骨关节病的物理治疗。依据《</w:t>
            </w:r>
            <w:r>
              <w:rPr>
                <w:lang w:eastAsia="zh-CN"/>
              </w:rPr>
              <w:t>2012</w:t>
            </w:r>
            <w:r>
              <w:rPr>
                <w:lang w:eastAsia="zh-CN"/>
              </w:rPr>
              <w:t>年全国医疗服务价格项目规范》，国内唯一符合规范要求，用于开展项目规范里的</w:t>
            </w:r>
            <w:r>
              <w:rPr>
                <w:lang w:eastAsia="zh-CN"/>
              </w:rPr>
              <w:t>“</w:t>
            </w:r>
            <w:r>
              <w:rPr>
                <w:lang w:eastAsia="zh-CN"/>
              </w:rPr>
              <w:t>中医定向透药疗法</w:t>
            </w:r>
            <w:r>
              <w:rPr>
                <w:lang w:eastAsia="zh-CN"/>
              </w:rPr>
              <w:t>”</w:t>
            </w:r>
            <w:r>
              <w:rPr>
                <w:lang w:eastAsia="zh-CN"/>
              </w:rPr>
              <w:t>的仪器和材料。</w:t>
            </w:r>
            <w:r>
              <w:rPr>
                <w:lang w:eastAsia="zh-CN"/>
              </w:rPr>
              <w:br/>
            </w:r>
            <w:r>
              <w:rPr>
                <w:lang w:eastAsia="zh-CN"/>
              </w:rPr>
              <w:br/>
              <w:t>2.</w:t>
            </w:r>
            <w:r>
              <w:rPr>
                <w:lang w:eastAsia="zh-CN"/>
              </w:rPr>
              <w:t>由主机和皮肤电极组成。皮肤电极为可加热雾化电极。</w:t>
            </w:r>
            <w:r>
              <w:rPr>
                <w:lang w:eastAsia="zh-CN"/>
              </w:rPr>
              <w:br/>
            </w:r>
            <w:r>
              <w:rPr>
                <w:lang w:eastAsia="zh-CN"/>
              </w:rPr>
              <w:br/>
              <w:t>3. ▲</w:t>
            </w:r>
            <w:r>
              <w:rPr>
                <w:lang w:eastAsia="zh-CN"/>
              </w:rPr>
              <w:t>微电脑技术低频调制中频：低频：</w:t>
            </w:r>
            <w:r>
              <w:rPr>
                <w:lang w:eastAsia="zh-CN"/>
              </w:rPr>
              <w:t>1-440HZ;</w:t>
            </w:r>
            <w:r>
              <w:rPr>
                <w:lang w:eastAsia="zh-CN"/>
              </w:rPr>
              <w:t>中频：</w:t>
            </w:r>
            <w:r>
              <w:rPr>
                <w:lang w:eastAsia="zh-CN"/>
              </w:rPr>
              <w:t>1250-4000HZ</w:t>
            </w:r>
            <w:r>
              <w:rPr>
                <w:lang w:eastAsia="zh-CN"/>
              </w:rPr>
              <w:br/>
            </w:r>
            <w:r>
              <w:rPr>
                <w:lang w:eastAsia="zh-CN"/>
              </w:rPr>
              <w:br/>
              <w:t>4.</w:t>
            </w:r>
            <w:r>
              <w:rPr>
                <w:lang w:eastAsia="zh-CN"/>
              </w:rPr>
              <w:t>输出速度：</w:t>
            </w:r>
            <w:r>
              <w:rPr>
                <w:lang w:eastAsia="zh-CN"/>
              </w:rPr>
              <w:t>0-99</w:t>
            </w:r>
            <w:r>
              <w:rPr>
                <w:lang w:eastAsia="zh-CN"/>
              </w:rPr>
              <w:t>共</w:t>
            </w:r>
            <w:r>
              <w:rPr>
                <w:lang w:eastAsia="zh-CN"/>
              </w:rPr>
              <w:t>100</w:t>
            </w:r>
            <w:r>
              <w:rPr>
                <w:lang w:eastAsia="zh-CN"/>
              </w:rPr>
              <w:t>级步进调节</w:t>
            </w:r>
            <w:r>
              <w:rPr>
                <w:lang w:eastAsia="zh-CN"/>
              </w:rPr>
              <w:br/>
            </w:r>
            <w:r>
              <w:rPr>
                <w:lang w:eastAsia="zh-CN"/>
              </w:rPr>
              <w:br/>
              <w:t>5</w:t>
            </w:r>
            <w:r>
              <w:rPr>
                <w:lang w:eastAsia="zh-CN"/>
              </w:rPr>
              <w:t>定时功能：任意预制</w:t>
            </w:r>
            <w:r>
              <w:rPr>
                <w:lang w:eastAsia="zh-CN"/>
              </w:rPr>
              <w:t>0-60</w:t>
            </w:r>
            <w:r>
              <w:rPr>
                <w:lang w:eastAsia="zh-CN"/>
              </w:rPr>
              <w:t>分钟</w:t>
            </w:r>
            <w:r>
              <w:rPr>
                <w:lang w:eastAsia="zh-CN"/>
              </w:rPr>
              <w:br/>
            </w:r>
            <w:r>
              <w:rPr>
                <w:lang w:eastAsia="zh-CN"/>
              </w:rPr>
              <w:br/>
            </w:r>
            <w:r>
              <w:rPr>
                <w:lang w:eastAsia="zh-CN"/>
              </w:rPr>
              <w:t>6.</w:t>
            </w:r>
            <w:r>
              <w:rPr>
                <w:lang w:eastAsia="zh-CN"/>
              </w:rPr>
              <w:t>电极</w:t>
            </w:r>
            <w:proofErr w:type="gramStart"/>
            <w:r>
              <w:rPr>
                <w:lang w:eastAsia="zh-CN"/>
              </w:rPr>
              <w:t>片使用</w:t>
            </w:r>
            <w:proofErr w:type="gramEnd"/>
            <w:r>
              <w:rPr>
                <w:lang w:eastAsia="zh-CN"/>
              </w:rPr>
              <w:t>竹碳纤维，具有消炎功能防止皮肤接触部位感染；可以添加药物，便于医生辨证论治，进行药物的经皮渗透导入治疗。</w:t>
            </w:r>
            <w:r>
              <w:rPr>
                <w:lang w:eastAsia="zh-CN"/>
              </w:rPr>
              <w:br/>
            </w:r>
            <w:r>
              <w:rPr>
                <w:lang w:eastAsia="zh-CN"/>
              </w:rPr>
              <w:br/>
              <w:t>7.</w:t>
            </w:r>
            <w:r>
              <w:rPr>
                <w:lang w:eastAsia="zh-CN"/>
              </w:rPr>
              <w:t>宽幅弹性绷带，利于电极板固定。</w:t>
            </w:r>
            <w:r>
              <w:rPr>
                <w:lang w:eastAsia="zh-CN"/>
              </w:rPr>
              <w:br/>
            </w:r>
            <w:r>
              <w:rPr>
                <w:lang w:eastAsia="zh-CN"/>
              </w:rPr>
              <w:br/>
              <w:t>8.</w:t>
            </w:r>
            <w:r>
              <w:rPr>
                <w:lang w:eastAsia="zh-CN"/>
              </w:rPr>
              <w:t>微电脑仿生按摩功能，连续工作时间不低于</w:t>
            </w:r>
            <w:r>
              <w:rPr>
                <w:lang w:eastAsia="zh-CN"/>
              </w:rPr>
              <w:t>6</w:t>
            </w:r>
            <w:r>
              <w:rPr>
                <w:lang w:eastAsia="zh-CN"/>
              </w:rPr>
              <w:t>小时。</w:t>
            </w:r>
            <w:r>
              <w:rPr>
                <w:lang w:eastAsia="zh-CN"/>
              </w:rPr>
              <w:br/>
            </w:r>
            <w:r>
              <w:rPr>
                <w:lang w:eastAsia="zh-CN"/>
              </w:rPr>
              <w:br/>
              <w:t>9.</w:t>
            </w:r>
            <w:r>
              <w:rPr>
                <w:lang w:eastAsia="zh-CN"/>
              </w:rPr>
              <w:t>智能化安全操作控制系统设计：当仪器错误操作或重新开启或者模式切换时，仪器自动将输出幅度控制调节至最小位置。</w:t>
            </w:r>
            <w:r>
              <w:rPr>
                <w:lang w:eastAsia="zh-CN"/>
              </w:rPr>
              <w:br/>
            </w:r>
            <w:r>
              <w:rPr>
                <w:lang w:eastAsia="zh-CN"/>
              </w:rPr>
              <w:br/>
              <w:t>10. ▲</w:t>
            </w:r>
            <w:r>
              <w:rPr>
                <w:lang w:eastAsia="zh-CN"/>
              </w:rPr>
              <w:t>输出在最大值，开路工作</w:t>
            </w:r>
            <w:r>
              <w:rPr>
                <w:lang w:eastAsia="zh-CN"/>
              </w:rPr>
              <w:t>10min,</w:t>
            </w:r>
            <w:r>
              <w:rPr>
                <w:lang w:eastAsia="zh-CN"/>
              </w:rPr>
              <w:t>短路工作</w:t>
            </w:r>
            <w:r>
              <w:rPr>
                <w:lang w:eastAsia="zh-CN"/>
              </w:rPr>
              <w:t>5min</w:t>
            </w:r>
            <w:r>
              <w:rPr>
                <w:lang w:eastAsia="zh-CN"/>
              </w:rPr>
              <w:t>后，其性能不减弱。</w:t>
            </w:r>
            <w:r>
              <w:rPr>
                <w:lang w:eastAsia="zh-CN"/>
              </w:rPr>
              <w:br/>
            </w:r>
            <w:r>
              <w:rPr>
                <w:lang w:eastAsia="zh-CN"/>
              </w:rPr>
              <w:br/>
              <w:t>11.</w:t>
            </w:r>
            <w:r>
              <w:rPr>
                <w:lang w:eastAsia="zh-CN"/>
              </w:rPr>
              <w:t>皮肤电极状态（负载</w:t>
            </w:r>
            <w:r>
              <w:rPr>
                <w:lang w:eastAsia="zh-CN"/>
              </w:rPr>
              <w:t>500</w:t>
            </w:r>
            <w:r>
              <w:t>Ω</w:t>
            </w:r>
            <w:r>
              <w:rPr>
                <w:lang w:eastAsia="zh-CN"/>
              </w:rPr>
              <w:t>)</w:t>
            </w:r>
            <w:r>
              <w:rPr>
                <w:lang w:eastAsia="zh-CN"/>
              </w:rPr>
              <w:t>单个脉冲输出的最大能量不超过</w:t>
            </w:r>
            <w:r>
              <w:rPr>
                <w:lang w:eastAsia="zh-CN"/>
              </w:rPr>
              <w:t>300mJ.</w:t>
            </w:r>
            <w:r>
              <w:rPr>
                <w:lang w:eastAsia="zh-CN"/>
              </w:rPr>
              <w:br/>
            </w:r>
            <w:r>
              <w:rPr>
                <w:lang w:eastAsia="zh-CN"/>
              </w:rPr>
              <w:br/>
              <w:t>12. ▲</w:t>
            </w:r>
            <w:r>
              <w:rPr>
                <w:lang w:eastAsia="zh-CN"/>
              </w:rPr>
              <w:t>开路测试时，输</w:t>
            </w:r>
            <w:r>
              <w:rPr>
                <w:lang w:eastAsia="zh-CN"/>
              </w:rPr>
              <w:t>出峰值电压不超过</w:t>
            </w:r>
            <w:r>
              <w:rPr>
                <w:lang w:eastAsia="zh-CN"/>
              </w:rPr>
              <w:t>500V.</w:t>
            </w:r>
            <w:r>
              <w:rPr>
                <w:lang w:eastAsia="zh-CN"/>
              </w:rPr>
              <w:br/>
            </w:r>
            <w:r>
              <w:rPr>
                <w:lang w:eastAsia="zh-CN"/>
              </w:rPr>
              <w:br/>
            </w:r>
            <w:r>
              <w:rPr>
                <w:lang w:eastAsia="zh-CN"/>
              </w:rPr>
              <w:lastRenderedPageBreak/>
              <w:t>13. ▲</w:t>
            </w:r>
            <w:r>
              <w:rPr>
                <w:lang w:eastAsia="zh-CN"/>
              </w:rPr>
              <w:t>当电源电压在</w:t>
            </w:r>
            <w:r>
              <w:rPr>
                <w:lang w:eastAsia="zh-CN"/>
              </w:rPr>
              <w:t>±10%</w:t>
            </w:r>
            <w:r>
              <w:rPr>
                <w:lang w:eastAsia="zh-CN"/>
              </w:rPr>
              <w:t>内波动时，仪器的输出幅度，脉冲宽度，或脉冲重复频率不大于</w:t>
            </w:r>
            <w:r>
              <w:rPr>
                <w:lang w:eastAsia="zh-CN"/>
              </w:rPr>
              <w:t>10%.</w:t>
            </w:r>
            <w:r>
              <w:rPr>
                <w:lang w:eastAsia="zh-CN"/>
              </w:rPr>
              <w:br/>
            </w:r>
            <w:r>
              <w:rPr>
                <w:lang w:eastAsia="zh-CN"/>
              </w:rPr>
              <w:br/>
              <w:t>14. ▲</w:t>
            </w:r>
            <w:r>
              <w:rPr>
                <w:lang w:eastAsia="zh-CN"/>
              </w:rPr>
              <w:t>在范围内误差不超过</w:t>
            </w:r>
            <w:r>
              <w:rPr>
                <w:lang w:eastAsia="zh-CN"/>
              </w:rPr>
              <w:t>10%</w:t>
            </w:r>
            <w:r>
              <w:rPr>
                <w:lang w:eastAsia="zh-CN"/>
              </w:rPr>
              <w:t>的负载电阻进行测量时，仪器的脉冲宽度，脉冲重复频率，输出幅度，包括直流分量的偏差不得超过</w:t>
            </w:r>
            <w:r>
              <w:rPr>
                <w:lang w:eastAsia="zh-CN"/>
              </w:rPr>
              <w:t>±30%.</w:t>
            </w:r>
            <w:r>
              <w:rPr>
                <w:lang w:eastAsia="zh-CN"/>
              </w:rPr>
              <w:br/>
            </w:r>
            <w:r>
              <w:rPr>
                <w:lang w:eastAsia="zh-CN"/>
              </w:rPr>
              <w:br/>
              <w:t>15.</w:t>
            </w:r>
            <w:r>
              <w:rPr>
                <w:lang w:eastAsia="zh-CN"/>
              </w:rPr>
              <w:t>配套电极种类：体表、穴位或腔道的皮肤电极、理疗电极、封包理疗电极、加热电极、抽吸式电极、超声换能器电极或其他类电极。</w:t>
            </w:r>
            <w:r>
              <w:rPr>
                <w:lang w:eastAsia="zh-CN"/>
              </w:rPr>
              <w:br/>
            </w:r>
            <w:r>
              <w:rPr>
                <w:lang w:eastAsia="zh-CN"/>
              </w:rPr>
              <w:br/>
              <w:t>16.</w:t>
            </w:r>
            <w:r>
              <w:rPr>
                <w:lang w:eastAsia="zh-CN"/>
              </w:rPr>
              <w:t>超声输出参数（适用时）</w:t>
            </w:r>
            <w:r>
              <w:rPr>
                <w:lang w:eastAsia="zh-CN"/>
              </w:rPr>
              <w:br/>
            </w:r>
            <w:r>
              <w:rPr>
                <w:lang w:eastAsia="zh-CN"/>
              </w:rPr>
              <w:br/>
              <w:t>a)</w:t>
            </w:r>
            <w:r>
              <w:rPr>
                <w:lang w:eastAsia="zh-CN"/>
              </w:rPr>
              <w:t>有效声强：不超过</w:t>
            </w:r>
            <w:r>
              <w:rPr>
                <w:lang w:eastAsia="zh-CN"/>
              </w:rPr>
              <w:t>3W/cm2</w:t>
            </w:r>
            <w:r>
              <w:rPr>
                <w:lang w:eastAsia="zh-CN"/>
              </w:rPr>
              <w:br/>
            </w:r>
            <w:r>
              <w:rPr>
                <w:lang w:eastAsia="zh-CN"/>
              </w:rPr>
              <w:br/>
              <w:t>b)</w:t>
            </w:r>
            <w:r>
              <w:rPr>
                <w:lang w:eastAsia="zh-CN"/>
              </w:rPr>
              <w:t>工作频率：</w:t>
            </w:r>
            <w:r>
              <w:rPr>
                <w:lang w:eastAsia="zh-CN"/>
              </w:rPr>
              <w:t>1MHz±10%</w:t>
            </w:r>
            <w:r>
              <w:rPr>
                <w:lang w:eastAsia="zh-CN"/>
              </w:rPr>
              <w:br/>
            </w:r>
            <w:r>
              <w:rPr>
                <w:lang w:eastAsia="zh-CN"/>
              </w:rPr>
              <w:br/>
              <w:t>c)</w:t>
            </w:r>
            <w:r>
              <w:rPr>
                <w:lang w:eastAsia="zh-CN"/>
              </w:rPr>
              <w:t>额定输出功率：</w:t>
            </w:r>
            <w:r>
              <w:rPr>
                <w:lang w:eastAsia="zh-CN"/>
              </w:rPr>
              <w:t>2</w:t>
            </w:r>
            <w:r>
              <w:rPr>
                <w:lang w:eastAsia="zh-CN"/>
              </w:rPr>
              <w:t>00mW</w:t>
            </w:r>
            <w:r>
              <w:rPr>
                <w:lang w:eastAsia="zh-CN"/>
              </w:rPr>
              <w:br/>
            </w:r>
            <w:r>
              <w:rPr>
                <w:lang w:eastAsia="zh-CN"/>
              </w:rPr>
              <w:br/>
              <w:t>d)</w:t>
            </w:r>
            <w:r>
              <w:rPr>
                <w:lang w:eastAsia="zh-CN"/>
              </w:rPr>
              <w:t>波束类型：准直型</w:t>
            </w:r>
            <w:r>
              <w:rPr>
                <w:lang w:eastAsia="zh-CN"/>
              </w:rPr>
              <w:br/>
            </w:r>
            <w:r>
              <w:rPr>
                <w:lang w:eastAsia="zh-CN"/>
              </w:rPr>
              <w:br/>
              <w:t>e)</w:t>
            </w:r>
            <w:r>
              <w:rPr>
                <w:lang w:eastAsia="zh-CN"/>
              </w:rPr>
              <w:t>波束不均匀性系数</w:t>
            </w:r>
            <w:r>
              <w:rPr>
                <w:lang w:eastAsia="zh-CN"/>
              </w:rPr>
              <w:t>RBN:</w:t>
            </w:r>
            <w:r>
              <w:rPr>
                <w:lang w:eastAsia="zh-CN"/>
              </w:rPr>
              <w:t>不大于</w:t>
            </w:r>
            <w:r>
              <w:rPr>
                <w:lang w:eastAsia="zh-CN"/>
              </w:rPr>
              <w:t>8.0</w:t>
            </w:r>
            <w:r>
              <w:rPr>
                <w:lang w:eastAsia="zh-CN"/>
              </w:rPr>
              <w:br/>
            </w:r>
            <w:r>
              <w:rPr>
                <w:lang w:eastAsia="zh-CN"/>
              </w:rPr>
              <w:br/>
              <w:t>f)</w:t>
            </w:r>
            <w:r>
              <w:rPr>
                <w:lang w:eastAsia="zh-CN"/>
              </w:rPr>
              <w:t>额定输出功率偏差：不大于</w:t>
            </w:r>
            <w:r>
              <w:rPr>
                <w:lang w:eastAsia="zh-CN"/>
              </w:rPr>
              <w:t>±20%.</w:t>
            </w:r>
            <w:r>
              <w:rPr>
                <w:lang w:eastAsia="zh-CN"/>
              </w:rPr>
              <w:br/>
            </w:r>
            <w:r>
              <w:rPr>
                <w:lang w:eastAsia="zh-CN"/>
              </w:rPr>
              <w:br/>
              <w:t>g)</w:t>
            </w:r>
            <w:r>
              <w:rPr>
                <w:lang w:eastAsia="zh-CN"/>
              </w:rPr>
              <w:t>超声输出功率的时间稳定性：在设备设置为最大输出功率，供电电压为额定电网电压和</w:t>
            </w:r>
            <w:r>
              <w:rPr>
                <w:lang w:eastAsia="zh-CN"/>
              </w:rPr>
              <w:t>23℃±3℃</w:t>
            </w:r>
            <w:r>
              <w:rPr>
                <w:lang w:eastAsia="zh-CN"/>
              </w:rPr>
              <w:t>水温条件下，连续工作</w:t>
            </w:r>
            <w:r>
              <w:rPr>
                <w:lang w:eastAsia="zh-CN"/>
              </w:rPr>
              <w:t>1</w:t>
            </w:r>
            <w:r>
              <w:rPr>
                <w:lang w:eastAsia="zh-CN"/>
              </w:rPr>
              <w:t>小时内，输出功率应恒定在其初始值</w:t>
            </w:r>
            <w:r>
              <w:rPr>
                <w:lang w:eastAsia="zh-CN"/>
              </w:rPr>
              <w:t>±20%</w:t>
            </w:r>
            <w:r>
              <w:rPr>
                <w:lang w:eastAsia="zh-CN"/>
              </w:rPr>
              <w:t>的范围内。</w:t>
            </w:r>
            <w:r>
              <w:rPr>
                <w:lang w:eastAsia="zh-CN"/>
              </w:rPr>
              <w:br/>
            </w:r>
            <w:r>
              <w:rPr>
                <w:lang w:eastAsia="zh-CN"/>
              </w:rPr>
              <w:br/>
            </w:r>
            <w:r>
              <w:rPr>
                <w:lang w:eastAsia="zh-CN"/>
              </w:rPr>
              <w:br/>
            </w:r>
            <w:r>
              <w:rPr>
                <w:lang w:eastAsia="zh-CN"/>
              </w:rPr>
              <w:br/>
            </w:r>
            <w:r>
              <w:rPr>
                <w:lang w:eastAsia="zh-CN"/>
              </w:rPr>
              <w:br/>
            </w:r>
            <w:r>
              <w:rPr>
                <w:lang w:eastAsia="zh-CN"/>
              </w:rPr>
              <w:br/>
            </w:r>
          </w:p>
        </w:tc>
      </w:tr>
      <w:tr w:rsidR="00206F70">
        <w:tc>
          <w:tcPr>
            <w:tcW w:w="2160" w:type="dxa"/>
          </w:tcPr>
          <w:p w:rsidR="00206F70" w:rsidRDefault="000D2EA5">
            <w:r>
              <w:lastRenderedPageBreak/>
              <w:t>2</w:t>
            </w:r>
          </w:p>
        </w:tc>
        <w:tc>
          <w:tcPr>
            <w:tcW w:w="2160" w:type="dxa"/>
          </w:tcPr>
          <w:p w:rsidR="00206F70" w:rsidRDefault="000D2EA5">
            <w:r>
              <w:t>主机要求</w:t>
            </w:r>
          </w:p>
        </w:tc>
        <w:tc>
          <w:tcPr>
            <w:tcW w:w="4320" w:type="dxa"/>
            <w:gridSpan w:val="2"/>
          </w:tcPr>
          <w:p w:rsidR="00206F70" w:rsidRDefault="00206F70"/>
        </w:tc>
      </w:tr>
      <w:tr w:rsidR="00206F70">
        <w:tc>
          <w:tcPr>
            <w:tcW w:w="2160" w:type="dxa"/>
          </w:tcPr>
          <w:p w:rsidR="00206F70" w:rsidRDefault="000D2EA5">
            <w:r>
              <w:t>2</w:t>
            </w:r>
          </w:p>
        </w:tc>
        <w:tc>
          <w:tcPr>
            <w:tcW w:w="2160" w:type="dxa"/>
          </w:tcPr>
          <w:p w:rsidR="00206F70" w:rsidRDefault="000D2EA5">
            <w:r>
              <w:t>附属设备要求</w:t>
            </w:r>
          </w:p>
        </w:tc>
        <w:tc>
          <w:tcPr>
            <w:tcW w:w="4320" w:type="dxa"/>
            <w:gridSpan w:val="2"/>
          </w:tcPr>
          <w:p w:rsidR="00206F70" w:rsidRDefault="00206F70"/>
        </w:tc>
      </w:tr>
      <w:tr w:rsidR="00206F70">
        <w:tc>
          <w:tcPr>
            <w:tcW w:w="8640" w:type="dxa"/>
            <w:gridSpan w:val="4"/>
          </w:tcPr>
          <w:p w:rsidR="00206F70" w:rsidRDefault="000D2EA5">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206F70">
        <w:tc>
          <w:tcPr>
            <w:tcW w:w="2160" w:type="dxa"/>
          </w:tcPr>
          <w:p w:rsidR="00206F70" w:rsidRDefault="000D2EA5">
            <w:proofErr w:type="spellStart"/>
            <w:r>
              <w:t>序号</w:t>
            </w:r>
            <w:proofErr w:type="spellEnd"/>
          </w:p>
        </w:tc>
        <w:tc>
          <w:tcPr>
            <w:tcW w:w="2160" w:type="dxa"/>
          </w:tcPr>
          <w:p w:rsidR="00206F70" w:rsidRDefault="000D2EA5">
            <w:r>
              <w:t>名称</w:t>
            </w:r>
          </w:p>
        </w:tc>
        <w:tc>
          <w:tcPr>
            <w:tcW w:w="2160" w:type="dxa"/>
          </w:tcPr>
          <w:p w:rsidR="00206F70" w:rsidRDefault="000D2EA5">
            <w:r>
              <w:t>单位</w:t>
            </w:r>
          </w:p>
        </w:tc>
        <w:tc>
          <w:tcPr>
            <w:tcW w:w="2160" w:type="dxa"/>
          </w:tcPr>
          <w:p w:rsidR="00206F70" w:rsidRDefault="000D2EA5">
            <w:r>
              <w:t>数量</w:t>
            </w:r>
          </w:p>
        </w:tc>
      </w:tr>
    </w:tbl>
    <w:p w:rsidR="00206F70" w:rsidRDefault="000D2EA5">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206F70">
        <w:tc>
          <w:tcPr>
            <w:tcW w:w="2880" w:type="dxa"/>
            <w:gridSpan w:val="2"/>
          </w:tcPr>
          <w:p w:rsidR="00206F70" w:rsidRDefault="000D2EA5">
            <w:r>
              <w:lastRenderedPageBreak/>
              <w:t>序号</w:t>
            </w:r>
          </w:p>
        </w:tc>
        <w:tc>
          <w:tcPr>
            <w:tcW w:w="2880" w:type="dxa"/>
            <w:gridSpan w:val="2"/>
          </w:tcPr>
          <w:p w:rsidR="00206F70" w:rsidRDefault="000D2EA5">
            <w:r>
              <w:t>目录</w:t>
            </w:r>
          </w:p>
        </w:tc>
        <w:tc>
          <w:tcPr>
            <w:tcW w:w="2880" w:type="dxa"/>
            <w:gridSpan w:val="2"/>
          </w:tcPr>
          <w:p w:rsidR="00206F70" w:rsidRDefault="000D2EA5">
            <w:r>
              <w:t>商务要求</w:t>
            </w:r>
          </w:p>
        </w:tc>
      </w:tr>
      <w:tr w:rsidR="00206F70">
        <w:tc>
          <w:tcPr>
            <w:tcW w:w="8640" w:type="dxa"/>
            <w:gridSpan w:val="6"/>
          </w:tcPr>
          <w:p w:rsidR="00206F70" w:rsidRDefault="000D2EA5">
            <w:pPr>
              <w:rPr>
                <w:lang w:eastAsia="zh-CN"/>
              </w:rPr>
            </w:pPr>
            <w:r>
              <w:rPr>
                <w:lang w:eastAsia="zh-CN"/>
              </w:rPr>
              <w:t>（一）免费保修期内售后服务要求</w:t>
            </w:r>
          </w:p>
        </w:tc>
      </w:tr>
      <w:tr w:rsidR="00206F70">
        <w:tc>
          <w:tcPr>
            <w:tcW w:w="2880" w:type="dxa"/>
            <w:gridSpan w:val="2"/>
            <w:vMerge w:val="restart"/>
          </w:tcPr>
          <w:p w:rsidR="00206F70" w:rsidRDefault="000D2EA5">
            <w:r>
              <w:t>1</w:t>
            </w:r>
          </w:p>
        </w:tc>
        <w:tc>
          <w:tcPr>
            <w:tcW w:w="2880" w:type="dxa"/>
            <w:gridSpan w:val="2"/>
            <w:vMerge w:val="restart"/>
          </w:tcPr>
          <w:p w:rsidR="00206F70" w:rsidRDefault="000D2EA5">
            <w:r>
              <w:t>维修及维护服务</w:t>
            </w:r>
          </w:p>
        </w:tc>
        <w:tc>
          <w:tcPr>
            <w:tcW w:w="2880" w:type="dxa"/>
            <w:gridSpan w:val="2"/>
          </w:tcPr>
          <w:p w:rsidR="00206F70" w:rsidRDefault="00FA54D7">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bookmarkStart w:id="0" w:name="_GoBack"/>
            <w:bookmarkEnd w:id="0"/>
          </w:p>
        </w:tc>
      </w:tr>
      <w:tr w:rsidR="00FA54D7">
        <w:tc>
          <w:tcPr>
            <w:tcW w:w="2880" w:type="dxa"/>
            <w:gridSpan w:val="2"/>
            <w:vMerge/>
          </w:tcPr>
          <w:p w:rsidR="00FA54D7" w:rsidRDefault="00FA54D7">
            <w:pPr>
              <w:rPr>
                <w:lang w:eastAsia="zh-CN"/>
              </w:rPr>
            </w:pPr>
          </w:p>
        </w:tc>
        <w:tc>
          <w:tcPr>
            <w:tcW w:w="2880" w:type="dxa"/>
            <w:gridSpan w:val="2"/>
            <w:vMerge/>
          </w:tcPr>
          <w:p w:rsidR="00FA54D7" w:rsidRDefault="00FA54D7">
            <w:pPr>
              <w:rPr>
                <w:lang w:eastAsia="zh-CN"/>
              </w:rPr>
            </w:pPr>
          </w:p>
        </w:tc>
        <w:tc>
          <w:tcPr>
            <w:tcW w:w="2880" w:type="dxa"/>
            <w:gridSpan w:val="2"/>
          </w:tcPr>
          <w:p w:rsidR="00FA54D7" w:rsidRDefault="00FA54D7">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206F70">
        <w:tc>
          <w:tcPr>
            <w:tcW w:w="2880" w:type="dxa"/>
            <w:gridSpan w:val="2"/>
          </w:tcPr>
          <w:p w:rsidR="00206F70" w:rsidRDefault="000D2EA5">
            <w:r>
              <w:t>2</w:t>
            </w:r>
          </w:p>
        </w:tc>
        <w:tc>
          <w:tcPr>
            <w:tcW w:w="2880" w:type="dxa"/>
            <w:gridSpan w:val="2"/>
          </w:tcPr>
          <w:p w:rsidR="00206F70" w:rsidRDefault="000D2EA5">
            <w:r>
              <w:t>质量保证</w:t>
            </w:r>
          </w:p>
        </w:tc>
        <w:tc>
          <w:tcPr>
            <w:tcW w:w="2880" w:type="dxa"/>
            <w:gridSpan w:val="2"/>
          </w:tcPr>
          <w:p w:rsidR="00206F70" w:rsidRDefault="000D2EA5">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w:t>
            </w:r>
            <w:r>
              <w:rPr>
                <w:lang w:eastAsia="zh-CN"/>
              </w:rPr>
              <w:lastRenderedPageBreak/>
              <w:t>长保修期；</w:t>
            </w:r>
            <w:r>
              <w:rPr>
                <w:lang w:eastAsia="zh-CN"/>
              </w:rPr>
              <w:t xml:space="preserve">c. </w:t>
            </w:r>
            <w:r>
              <w:rPr>
                <w:lang w:eastAsia="zh-CN"/>
              </w:rPr>
              <w:t>年开机率低于</w:t>
            </w:r>
            <w:r>
              <w:rPr>
                <w:lang w:eastAsia="zh-CN"/>
              </w:rPr>
              <w:t>85%</w:t>
            </w:r>
            <w:r>
              <w:rPr>
                <w:lang w:eastAsia="zh-CN"/>
              </w:rPr>
              <w:t>，投标人必须无条件更换新机，并重新计算保</w:t>
            </w:r>
            <w:r>
              <w:rPr>
                <w:lang w:eastAsia="zh-CN"/>
              </w:rPr>
              <w:t>修期，以及赔偿用户的直接经济损失和间接经济损失。</w:t>
            </w:r>
            <w:proofErr w:type="spellStart"/>
            <w:r>
              <w:t>注：年开机率</w:t>
            </w:r>
            <w:proofErr w:type="spellEnd"/>
            <w:r>
              <w:t>=</w:t>
            </w:r>
            <w:r>
              <w:t>（</w:t>
            </w:r>
            <w:r>
              <w:t>365-</w:t>
            </w:r>
            <w:r>
              <w:t>停机天数）</w:t>
            </w:r>
            <w:r>
              <w:t>/365</w:t>
            </w:r>
            <w:r>
              <w:t>）</w:t>
            </w:r>
          </w:p>
        </w:tc>
      </w:tr>
      <w:tr w:rsidR="00206F70">
        <w:tc>
          <w:tcPr>
            <w:tcW w:w="8640" w:type="dxa"/>
            <w:gridSpan w:val="6"/>
          </w:tcPr>
          <w:p w:rsidR="00206F70" w:rsidRDefault="000D2EA5">
            <w:pPr>
              <w:rPr>
                <w:lang w:eastAsia="zh-CN"/>
              </w:rPr>
            </w:pPr>
            <w:r>
              <w:rPr>
                <w:lang w:eastAsia="zh-CN"/>
              </w:rPr>
              <w:lastRenderedPageBreak/>
              <w:t>（二）免费保修期外售后服务要求</w:t>
            </w:r>
          </w:p>
        </w:tc>
      </w:tr>
      <w:tr w:rsidR="00206F70">
        <w:tc>
          <w:tcPr>
            <w:tcW w:w="2880" w:type="dxa"/>
            <w:gridSpan w:val="2"/>
            <w:vMerge w:val="restart"/>
          </w:tcPr>
          <w:p w:rsidR="00206F70" w:rsidRDefault="000D2EA5">
            <w:r>
              <w:t>1</w:t>
            </w:r>
          </w:p>
        </w:tc>
        <w:tc>
          <w:tcPr>
            <w:tcW w:w="2880" w:type="dxa"/>
            <w:gridSpan w:val="2"/>
            <w:vMerge w:val="restart"/>
          </w:tcPr>
          <w:p w:rsidR="00206F70" w:rsidRDefault="000D2EA5">
            <w:r>
              <w:t>服务内容及要求</w:t>
            </w:r>
          </w:p>
        </w:tc>
        <w:tc>
          <w:tcPr>
            <w:tcW w:w="2880" w:type="dxa"/>
            <w:gridSpan w:val="2"/>
          </w:tcPr>
          <w:p w:rsidR="00206F70" w:rsidRDefault="000D2EA5">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1.3</w:t>
            </w:r>
            <w:r>
              <w:rPr>
                <w:lang w:eastAsia="zh-CN"/>
              </w:rPr>
              <w:t>维修的货物经采购人验收合格，且设备制造商提供维修专用发票后，采购人支付维修费用。</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w:t>
            </w:r>
            <w:r>
              <w:rPr>
                <w:lang w:eastAsia="zh-CN"/>
              </w:rPr>
              <w:lastRenderedPageBreak/>
              <w:t>何</w:t>
            </w:r>
            <w:proofErr w:type="gramEnd"/>
            <w:r>
              <w:rPr>
                <w:lang w:eastAsia="zh-CN"/>
              </w:rPr>
              <w:t>不利于采购人使用与维修设备的障碍。在规定的设备使用寿命期限内保证相关配件供应。</w:t>
            </w:r>
          </w:p>
        </w:tc>
      </w:tr>
      <w:tr w:rsidR="00206F70">
        <w:tc>
          <w:tcPr>
            <w:tcW w:w="8640" w:type="dxa"/>
            <w:gridSpan w:val="6"/>
          </w:tcPr>
          <w:p w:rsidR="00206F70" w:rsidRDefault="000D2EA5">
            <w:r>
              <w:lastRenderedPageBreak/>
              <w:t>（</w:t>
            </w:r>
            <w:proofErr w:type="spellStart"/>
            <w:r>
              <w:t>三）其他商务要求</w:t>
            </w:r>
            <w:proofErr w:type="spellEnd"/>
          </w:p>
        </w:tc>
      </w:tr>
      <w:tr w:rsidR="00206F70">
        <w:tc>
          <w:tcPr>
            <w:tcW w:w="2880" w:type="dxa"/>
            <w:gridSpan w:val="2"/>
            <w:vMerge w:val="restart"/>
          </w:tcPr>
          <w:p w:rsidR="00206F70" w:rsidRDefault="000D2EA5">
            <w:r>
              <w:t>1</w:t>
            </w:r>
          </w:p>
        </w:tc>
        <w:tc>
          <w:tcPr>
            <w:tcW w:w="2880" w:type="dxa"/>
            <w:gridSpan w:val="2"/>
            <w:vMerge w:val="restart"/>
          </w:tcPr>
          <w:p w:rsidR="00206F70" w:rsidRDefault="000D2EA5">
            <w:r>
              <w:t>交货条件</w:t>
            </w:r>
          </w:p>
        </w:tc>
        <w:tc>
          <w:tcPr>
            <w:tcW w:w="2880" w:type="dxa"/>
            <w:gridSpan w:val="2"/>
          </w:tcPr>
          <w:p w:rsidR="00206F70" w:rsidRDefault="000D2EA5">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1.2</w:t>
            </w:r>
            <w:r>
              <w:rPr>
                <w:lang w:eastAsia="zh-CN"/>
              </w:rPr>
              <w:t>签订合同后，如涉及机房装修改造，需立即向医院出具机房装修要求的各种资料。</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206F70">
        <w:tc>
          <w:tcPr>
            <w:tcW w:w="2880" w:type="dxa"/>
            <w:gridSpan w:val="2"/>
            <w:vMerge/>
          </w:tcPr>
          <w:p w:rsidR="00206F70" w:rsidRDefault="00206F70"/>
        </w:tc>
        <w:tc>
          <w:tcPr>
            <w:tcW w:w="2880" w:type="dxa"/>
            <w:gridSpan w:val="2"/>
            <w:vMerge/>
          </w:tcPr>
          <w:p w:rsidR="00206F70" w:rsidRDefault="00206F70"/>
        </w:tc>
        <w:tc>
          <w:tcPr>
            <w:tcW w:w="2880" w:type="dxa"/>
            <w:gridSpan w:val="2"/>
          </w:tcPr>
          <w:p w:rsidR="00206F70" w:rsidRDefault="000D2EA5">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1.5</w:t>
            </w:r>
            <w:r>
              <w:rPr>
                <w:lang w:eastAsia="zh-CN"/>
              </w:rPr>
              <w:t>如涉及机房装修改造，供应商应提供机房内与安装设备直接相关的器具和部件，包括从配电箱到主机的电缆线，专用</w:t>
            </w:r>
            <w:r>
              <w:rPr>
                <w:lang w:eastAsia="zh-CN"/>
              </w:rPr>
              <w:t>导轨吊架</w:t>
            </w:r>
            <w:proofErr w:type="gramStart"/>
            <w:r>
              <w:rPr>
                <w:lang w:eastAsia="zh-CN"/>
              </w:rPr>
              <w:t>和地梁钢结构</w:t>
            </w:r>
            <w:proofErr w:type="gramEnd"/>
            <w:r>
              <w:rPr>
                <w:lang w:eastAsia="zh-CN"/>
              </w:rPr>
              <w:t>等设备专用配套配件，采购人仅负责通用要求的放射防护装修。</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206F70">
            <w:pPr>
              <w:rPr>
                <w:lang w:eastAsia="zh-CN"/>
              </w:rPr>
            </w:pPr>
          </w:p>
        </w:tc>
      </w:tr>
      <w:tr w:rsidR="00206F70">
        <w:tc>
          <w:tcPr>
            <w:tcW w:w="2880" w:type="dxa"/>
            <w:gridSpan w:val="2"/>
            <w:vMerge w:val="restart"/>
          </w:tcPr>
          <w:p w:rsidR="00206F70" w:rsidRDefault="000D2EA5">
            <w:r>
              <w:t>2</w:t>
            </w:r>
          </w:p>
        </w:tc>
        <w:tc>
          <w:tcPr>
            <w:tcW w:w="2880" w:type="dxa"/>
            <w:gridSpan w:val="2"/>
            <w:vMerge w:val="restart"/>
          </w:tcPr>
          <w:p w:rsidR="00206F70" w:rsidRDefault="000D2EA5">
            <w:r>
              <w:t>运输、安装和验收</w:t>
            </w:r>
          </w:p>
        </w:tc>
        <w:tc>
          <w:tcPr>
            <w:tcW w:w="2880" w:type="dxa"/>
            <w:gridSpan w:val="2"/>
          </w:tcPr>
          <w:p w:rsidR="00206F70" w:rsidRDefault="000D2EA5">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w:t>
            </w:r>
            <w:r>
              <w:rPr>
                <w:lang w:eastAsia="zh-CN"/>
              </w:rPr>
              <w:lastRenderedPageBreak/>
              <w:t>税、增值税和进口代理等费用。</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2.5</w:t>
            </w:r>
            <w:r>
              <w:rPr>
                <w:lang w:eastAsia="zh-CN"/>
              </w:rPr>
              <w:t>设备安装过程中不得破坏已有设备、器具和装修，如有损坏，需无条件恢复原状。</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2.7</w:t>
            </w:r>
            <w:r>
              <w:rPr>
                <w:lang w:eastAsia="zh-CN"/>
              </w:rPr>
              <w:t>医疗设备的包装箱使用后由中标（成交）供应商负责处理。</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2.8</w:t>
            </w:r>
            <w:r>
              <w:rPr>
                <w:lang w:eastAsia="zh-CN"/>
              </w:rPr>
              <w:t>废气排放、排污等接口无条件改造为医院已有标准和制式。</w:t>
            </w:r>
          </w:p>
        </w:tc>
      </w:tr>
      <w:tr w:rsidR="00206F70">
        <w:tc>
          <w:tcPr>
            <w:tcW w:w="2880" w:type="dxa"/>
            <w:gridSpan w:val="2"/>
          </w:tcPr>
          <w:p w:rsidR="00206F70" w:rsidRDefault="00206F70">
            <w:pPr>
              <w:rPr>
                <w:lang w:eastAsia="zh-CN"/>
              </w:rPr>
            </w:pPr>
          </w:p>
        </w:tc>
        <w:tc>
          <w:tcPr>
            <w:tcW w:w="2880" w:type="dxa"/>
            <w:gridSpan w:val="2"/>
          </w:tcPr>
          <w:p w:rsidR="00206F70" w:rsidRDefault="00206F70">
            <w:pPr>
              <w:rPr>
                <w:lang w:eastAsia="zh-CN"/>
              </w:rPr>
            </w:pPr>
          </w:p>
        </w:tc>
        <w:tc>
          <w:tcPr>
            <w:tcW w:w="2880" w:type="dxa"/>
            <w:gridSpan w:val="2"/>
          </w:tcPr>
          <w:p w:rsidR="00206F70" w:rsidRDefault="00206F70">
            <w:pPr>
              <w:rPr>
                <w:lang w:eastAsia="zh-CN"/>
              </w:rPr>
            </w:pPr>
          </w:p>
        </w:tc>
      </w:tr>
      <w:tr w:rsidR="00206F70">
        <w:tc>
          <w:tcPr>
            <w:tcW w:w="2880" w:type="dxa"/>
            <w:gridSpan w:val="2"/>
          </w:tcPr>
          <w:p w:rsidR="00206F70" w:rsidRDefault="000D2EA5">
            <w:r>
              <w:t>3</w:t>
            </w:r>
          </w:p>
        </w:tc>
        <w:tc>
          <w:tcPr>
            <w:tcW w:w="2880" w:type="dxa"/>
            <w:gridSpan w:val="2"/>
          </w:tcPr>
          <w:p w:rsidR="00206F70" w:rsidRDefault="000D2EA5">
            <w:r>
              <w:t>培训</w:t>
            </w:r>
          </w:p>
        </w:tc>
        <w:tc>
          <w:tcPr>
            <w:tcW w:w="2880" w:type="dxa"/>
            <w:gridSpan w:val="2"/>
          </w:tcPr>
          <w:p w:rsidR="00206F70" w:rsidRDefault="000D2EA5">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206F70">
        <w:tc>
          <w:tcPr>
            <w:tcW w:w="2880" w:type="dxa"/>
            <w:gridSpan w:val="2"/>
            <w:vMerge w:val="restart"/>
          </w:tcPr>
          <w:p w:rsidR="00206F70" w:rsidRDefault="000D2EA5">
            <w:r>
              <w:t>4</w:t>
            </w:r>
          </w:p>
        </w:tc>
        <w:tc>
          <w:tcPr>
            <w:tcW w:w="2880" w:type="dxa"/>
            <w:gridSpan w:val="2"/>
            <w:vMerge w:val="restart"/>
          </w:tcPr>
          <w:p w:rsidR="00206F70" w:rsidRDefault="000D2EA5">
            <w:r>
              <w:t>知识产权</w:t>
            </w:r>
          </w:p>
        </w:tc>
        <w:tc>
          <w:tcPr>
            <w:tcW w:w="2880" w:type="dxa"/>
            <w:gridSpan w:val="2"/>
          </w:tcPr>
          <w:p w:rsidR="00206F70" w:rsidRDefault="000D2EA5">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4.2</w:t>
            </w:r>
            <w:r>
              <w:rPr>
                <w:lang w:eastAsia="zh-CN"/>
              </w:rPr>
              <w:t>采购人购买产品后，有权对该产品与其他设备进行配套、整合或适当改进，而免受侵犯专利权的起诉。</w:t>
            </w:r>
          </w:p>
        </w:tc>
      </w:tr>
      <w:tr w:rsidR="00206F70">
        <w:tc>
          <w:tcPr>
            <w:tcW w:w="2880" w:type="dxa"/>
            <w:gridSpan w:val="2"/>
          </w:tcPr>
          <w:p w:rsidR="00206F70" w:rsidRDefault="000D2EA5">
            <w:r>
              <w:t>5</w:t>
            </w:r>
          </w:p>
        </w:tc>
        <w:tc>
          <w:tcPr>
            <w:tcW w:w="2880" w:type="dxa"/>
            <w:gridSpan w:val="2"/>
          </w:tcPr>
          <w:p w:rsidR="00206F70" w:rsidRDefault="000D2EA5">
            <w:r>
              <w:t>付款方式</w:t>
            </w:r>
          </w:p>
        </w:tc>
        <w:tc>
          <w:tcPr>
            <w:tcW w:w="2880" w:type="dxa"/>
            <w:gridSpan w:val="2"/>
          </w:tcPr>
          <w:p w:rsidR="00206F70" w:rsidRDefault="000D2EA5">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w:t>
            </w:r>
            <w:r>
              <w:rPr>
                <w:lang w:eastAsia="zh-CN"/>
              </w:rPr>
              <w:t>采购人确认产品质量无问题及售后服务达标后，甲方无息返还乙方质保金。</w:t>
            </w:r>
          </w:p>
        </w:tc>
      </w:tr>
      <w:tr w:rsidR="00206F70">
        <w:tc>
          <w:tcPr>
            <w:tcW w:w="2880" w:type="dxa"/>
            <w:gridSpan w:val="2"/>
            <w:vMerge w:val="restart"/>
          </w:tcPr>
          <w:p w:rsidR="00206F70" w:rsidRDefault="000D2EA5">
            <w:r>
              <w:t>6</w:t>
            </w:r>
          </w:p>
        </w:tc>
        <w:tc>
          <w:tcPr>
            <w:tcW w:w="2880" w:type="dxa"/>
            <w:gridSpan w:val="2"/>
            <w:vMerge w:val="restart"/>
          </w:tcPr>
          <w:p w:rsidR="00206F70" w:rsidRDefault="000D2EA5">
            <w:r>
              <w:t>违约责任</w:t>
            </w:r>
          </w:p>
        </w:tc>
        <w:tc>
          <w:tcPr>
            <w:tcW w:w="2880" w:type="dxa"/>
            <w:gridSpan w:val="2"/>
          </w:tcPr>
          <w:p w:rsidR="00206F70" w:rsidRDefault="000D2EA5">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6.2</w:t>
            </w:r>
            <w:r>
              <w:rPr>
                <w:lang w:eastAsia="zh-CN"/>
              </w:rPr>
              <w:t>中标人逾期交货的，将</w:t>
            </w:r>
            <w:r>
              <w:rPr>
                <w:lang w:eastAsia="zh-CN"/>
              </w:rPr>
              <w:lastRenderedPageBreak/>
              <w:t>被没收履约保证金并按主管部门相关规定处理。</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0D2EA5">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206F70">
            <w:pPr>
              <w:rPr>
                <w:lang w:eastAsia="zh-CN"/>
              </w:rPr>
            </w:pPr>
          </w:p>
        </w:tc>
      </w:tr>
      <w:tr w:rsidR="00206F70">
        <w:tc>
          <w:tcPr>
            <w:tcW w:w="2880" w:type="dxa"/>
            <w:gridSpan w:val="2"/>
            <w:vMerge/>
          </w:tcPr>
          <w:p w:rsidR="00206F70" w:rsidRDefault="00206F70">
            <w:pPr>
              <w:rPr>
                <w:lang w:eastAsia="zh-CN"/>
              </w:rPr>
            </w:pPr>
          </w:p>
        </w:tc>
        <w:tc>
          <w:tcPr>
            <w:tcW w:w="2880" w:type="dxa"/>
            <w:gridSpan w:val="2"/>
            <w:vMerge/>
          </w:tcPr>
          <w:p w:rsidR="00206F70" w:rsidRDefault="00206F70">
            <w:pPr>
              <w:rPr>
                <w:lang w:eastAsia="zh-CN"/>
              </w:rPr>
            </w:pPr>
          </w:p>
        </w:tc>
        <w:tc>
          <w:tcPr>
            <w:tcW w:w="2880" w:type="dxa"/>
            <w:gridSpan w:val="2"/>
          </w:tcPr>
          <w:p w:rsidR="00206F70" w:rsidRDefault="00206F70">
            <w:pPr>
              <w:rPr>
                <w:lang w:eastAsia="zh-CN"/>
              </w:rPr>
            </w:pPr>
          </w:p>
        </w:tc>
      </w:tr>
      <w:tr w:rsidR="00206F70">
        <w:tc>
          <w:tcPr>
            <w:tcW w:w="2880" w:type="dxa"/>
            <w:gridSpan w:val="2"/>
          </w:tcPr>
          <w:p w:rsidR="00206F70" w:rsidRDefault="000D2EA5">
            <w:r>
              <w:t>7</w:t>
            </w:r>
          </w:p>
        </w:tc>
        <w:tc>
          <w:tcPr>
            <w:tcW w:w="2880" w:type="dxa"/>
            <w:gridSpan w:val="2"/>
          </w:tcPr>
          <w:p w:rsidR="00206F70" w:rsidRDefault="000D2EA5">
            <w:r>
              <w:t>数据接口要求</w:t>
            </w:r>
          </w:p>
        </w:tc>
        <w:tc>
          <w:tcPr>
            <w:tcW w:w="2880" w:type="dxa"/>
            <w:gridSpan w:val="2"/>
          </w:tcPr>
          <w:p w:rsidR="00206F70" w:rsidRDefault="000D2EA5">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206F70">
        <w:tc>
          <w:tcPr>
            <w:tcW w:w="2880" w:type="dxa"/>
            <w:gridSpan w:val="2"/>
          </w:tcPr>
          <w:p w:rsidR="00206F70" w:rsidRDefault="000D2EA5">
            <w:r>
              <w:t>8</w:t>
            </w:r>
          </w:p>
        </w:tc>
        <w:tc>
          <w:tcPr>
            <w:tcW w:w="2880" w:type="dxa"/>
            <w:gridSpan w:val="2"/>
          </w:tcPr>
          <w:p w:rsidR="00206F70" w:rsidRDefault="000D2EA5">
            <w:r>
              <w:t>其他</w:t>
            </w:r>
          </w:p>
        </w:tc>
        <w:tc>
          <w:tcPr>
            <w:tcW w:w="2880" w:type="dxa"/>
            <w:gridSpan w:val="2"/>
          </w:tcPr>
          <w:p w:rsidR="00206F70" w:rsidRDefault="000D2EA5">
            <w:pPr>
              <w:rPr>
                <w:lang w:eastAsia="zh-CN"/>
              </w:rPr>
            </w:pPr>
            <w:r>
              <w:rPr>
                <w:lang w:eastAsia="zh-CN"/>
              </w:rPr>
              <w:t>8.1</w:t>
            </w:r>
            <w:r>
              <w:rPr>
                <w:lang w:eastAsia="zh-CN"/>
              </w:rPr>
              <w:t>投标人应按其投标文件中的承诺，进行其他售后服务工作。</w:t>
            </w:r>
          </w:p>
        </w:tc>
      </w:tr>
      <w:tr w:rsidR="00206F70">
        <w:tc>
          <w:tcPr>
            <w:tcW w:w="1440" w:type="dxa"/>
            <w:vMerge w:val="restart"/>
          </w:tcPr>
          <w:p w:rsidR="00206F70" w:rsidRDefault="000D2EA5">
            <w:r>
              <w:t>9</w:t>
            </w:r>
          </w:p>
        </w:tc>
        <w:tc>
          <w:tcPr>
            <w:tcW w:w="1440" w:type="dxa"/>
          </w:tcPr>
          <w:p w:rsidR="00206F70" w:rsidRDefault="000D2EA5">
            <w:r>
              <w:t>配件名称</w:t>
            </w:r>
          </w:p>
        </w:tc>
        <w:tc>
          <w:tcPr>
            <w:tcW w:w="1440" w:type="dxa"/>
          </w:tcPr>
          <w:p w:rsidR="00206F70" w:rsidRDefault="000D2EA5">
            <w:r>
              <w:t>单位</w:t>
            </w:r>
          </w:p>
        </w:tc>
        <w:tc>
          <w:tcPr>
            <w:tcW w:w="1440" w:type="dxa"/>
          </w:tcPr>
          <w:p w:rsidR="00206F70" w:rsidRDefault="000D2EA5">
            <w:r>
              <w:t>单价</w:t>
            </w:r>
          </w:p>
        </w:tc>
        <w:tc>
          <w:tcPr>
            <w:tcW w:w="1440" w:type="dxa"/>
          </w:tcPr>
          <w:p w:rsidR="00206F70" w:rsidRDefault="000D2EA5">
            <w:r>
              <w:t>生产厂商</w:t>
            </w:r>
          </w:p>
        </w:tc>
        <w:tc>
          <w:tcPr>
            <w:tcW w:w="1440" w:type="dxa"/>
          </w:tcPr>
          <w:p w:rsidR="00206F70" w:rsidRDefault="000D2EA5">
            <w:r>
              <w:t>备注</w:t>
            </w:r>
          </w:p>
        </w:tc>
      </w:tr>
      <w:tr w:rsidR="00206F70">
        <w:tc>
          <w:tcPr>
            <w:tcW w:w="1440" w:type="dxa"/>
            <w:vMerge/>
          </w:tcPr>
          <w:p w:rsidR="00206F70" w:rsidRDefault="00206F70"/>
        </w:tc>
        <w:tc>
          <w:tcPr>
            <w:tcW w:w="1440" w:type="dxa"/>
          </w:tcPr>
          <w:p w:rsidR="00206F70" w:rsidRDefault="00206F70"/>
        </w:tc>
        <w:tc>
          <w:tcPr>
            <w:tcW w:w="1440" w:type="dxa"/>
          </w:tcPr>
          <w:p w:rsidR="00206F70" w:rsidRDefault="00206F70"/>
        </w:tc>
        <w:tc>
          <w:tcPr>
            <w:tcW w:w="1440" w:type="dxa"/>
          </w:tcPr>
          <w:p w:rsidR="00206F70" w:rsidRDefault="00206F70"/>
        </w:tc>
        <w:tc>
          <w:tcPr>
            <w:tcW w:w="1440" w:type="dxa"/>
          </w:tcPr>
          <w:p w:rsidR="00206F70" w:rsidRDefault="00206F70"/>
        </w:tc>
        <w:tc>
          <w:tcPr>
            <w:tcW w:w="1440" w:type="dxa"/>
          </w:tcPr>
          <w:p w:rsidR="00206F70" w:rsidRDefault="00206F70"/>
        </w:tc>
      </w:tr>
    </w:tbl>
    <w:p w:rsidR="000D2EA5" w:rsidRDefault="000D2EA5"/>
    <w:sectPr w:rsidR="000D2EA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D2EA5"/>
    <w:rsid w:val="0015074B"/>
    <w:rsid w:val="00206F70"/>
    <w:rsid w:val="0029639D"/>
    <w:rsid w:val="00326F90"/>
    <w:rsid w:val="00AA1D8D"/>
    <w:rsid w:val="00B47730"/>
    <w:rsid w:val="00CB0664"/>
    <w:rsid w:val="00FA54D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3E28-07F1-4F51-BB66-35F7438D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2013-12-23T23:15:00Z</dcterms:created>
  <dcterms:modified xsi:type="dcterms:W3CDTF">2021-11-12T06:39:00Z</dcterms:modified>
  <cp:category/>
</cp:coreProperties>
</file>