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序号</w:t>
            </w:r>
          </w:p>
        </w:tc>
        <w:tc>
          <w:tcPr>
            <w:tcW w:type="dxa" w:w="2160"/>
          </w:tcPr>
          <w:p>
            <w:r>
              <w:t>货物名称</w:t>
            </w:r>
          </w:p>
        </w:tc>
        <w:tc>
          <w:tcPr>
            <w:tcW w:type="dxa" w:w="4320"/>
            <w:gridSpan w:val="2"/>
          </w:tcPr>
          <w:p>
            <w:r>
              <w:t>技术要求</w:t>
            </w:r>
          </w:p>
        </w:tc>
      </w:tr>
      <w:tr>
        <w:tc>
          <w:tcPr>
            <w:tcW w:type="dxa" w:w="4320"/>
            <w:gridSpan w:val="2"/>
          </w:tcPr>
          <w:p>
            <w:r>
              <w:t>总体要求</w:t>
            </w:r>
          </w:p>
        </w:tc>
        <w:tc>
          <w:tcPr>
            <w:tcW w:type="dxa" w:w="4320"/>
            <w:gridSpan w:val="2"/>
          </w:tcPr>
          <w:p>
            <w:r>
              <w:t>脑立体定位仪、注射泵</w:t>
              <w:br/>
              <w:br/>
              <w:t>1.</w:t>
              <w:tab/>
              <w:t>选配不同动物适配器:大鼠、小鼠、小鸟、猫、壁虎及豚鼠</w:t>
              <w:br/>
              <w:br/>
              <w:t>2.</w:t>
              <w:tab/>
              <w:t>操作臂移动范围上下、左右、前后可达80mm</w:t>
              <w:br/>
              <w:br/>
              <w:t>3.</w:t>
              <w:tab/>
              <w:t>垂直方向可180度旋转并随时锁定任意位置</w:t>
              <w:br/>
              <w:br/>
              <w:t>4.</w:t>
              <w:tab/>
              <w:t>水平方向可360度旋转并随时锁定任意位置</w:t>
              <w:br/>
              <w:br/>
              <w:t>5.</w:t>
              <w:tab/>
              <w:t>可配套微量注射泵、显微摄像装置、颅钻使用</w:t>
              <w:br/>
              <w:br/>
              <w:t>6.</w:t>
              <w:tab/>
              <w:t>激光刻度及开放式的U形底座设计,读数更方便</w:t>
              <w:br/>
              <w:br/>
              <w:t>7.</w:t>
              <w:tab/>
              <w:t>双头丝杆设计,操作臂上下、左右、前后移动更精确平滑</w:t>
              <w:br/>
              <w:br/>
              <w:t>8.</w:t>
              <w:tab/>
              <w:t>不同温度下操作仍可保持良好的精确性与灵活性</w:t>
              <w:br/>
              <w:br/>
              <w:t>9.</w:t>
              <w:tab/>
              <w:t>特殊处理的材料表面,容易清洗并长期保持良好的清洁度</w:t>
              <w:br/>
              <w:br/>
              <w:t>10.</w:t>
              <w:tab/>
              <w:t>三维操作臂显示屏任意点置零</w:t>
              <w:br/>
              <w:br/>
              <w:t>11.</w:t>
              <w:tab/>
              <w:t>在Bregma点根据图谱直接进行定位,避免二次读数及计算,简化了实验操作过程</w:t>
              <w:br/>
              <w:br/>
              <w:t>12.</w:t>
              <w:tab/>
              <w:t>移动距离读数精度为10μm,满足更高实验要求</w:t>
              <w:br/>
              <w:br/>
              <w:t>13.</w:t>
              <w:tab/>
              <w:t>传感器及LCD显示屏分开独立安装,方便读数</w:t>
              <w:br/>
              <w:br/>
              <w:t>14.</w:t>
              <w:tab/>
              <w:t>电池使用寿命长,不产生电子噪声,方便电生理实验</w:t>
              <w:br/>
              <w:br/>
              <w:t>15.</w:t>
              <w:tab/>
              <w:t>加长的底板400mmX255mm,适合多种动物的应用</w:t>
              <w:br/>
              <w:br/>
              <w:t>16.</w:t>
              <w:tab/>
              <w:t>独有的垂直操作方向指示标志,防止误操作</w:t>
              <w:br/>
              <w:br/>
              <w:t>17.</w:t>
              <w:tab/>
              <w:t>垂直锁紧和定位钮分离,保证任意角度的精确操作</w:t>
              <w:br/>
              <w:br/>
              <w:t>18.</w:t>
              <w:tab/>
              <w:t>精确设计的侧向旋转操作空间,旋钮和U型座距离28mm</w:t>
              <w:br/>
              <w:br/>
              <w:t>19.</w:t>
              <w:tab/>
              <w:t>特殊工艺处理的刻度部件,消除读数产生的疲劳感</w:t>
              <w:br/>
              <w:br/>
              <w:t>20.</w:t>
              <w:tab/>
              <w:t>动物适配器头部采用曲线设计,对动物头部的固定方式更紧密</w:t>
              <w:br/>
              <w:br/>
              <w:t>21.</w:t>
              <w:tab/>
              <w:t>耳杆锁紧方式采用压板方式,方便使用</w:t>
              <w:br/>
              <w:br/>
              <w:t>22.</w:t>
              <w:tab/>
              <w:t>独立的小鼠适配器和耳杆（18和45度齿式和橡胶耳杆）；</w:t>
              <w:br/>
              <w:br/>
              <w:t>23.   可独立安装于脑立体定位仪上使用；</w:t>
              <w:br/>
              <w:br/>
              <w:t>24.   夹持注射器量程范围0.5-1000ul，线性推力： 11lbs/min ；</w:t>
              <w:br/>
              <w:br/>
              <w:t>25.   带有独特的“Lock” 功能，可锁定屏幕，防止运行过程中误操作；</w:t>
              <w:br/>
              <w:br/>
              <w:t>26.   四种组合工作方式：注射、吸收、注射/吸收、吸收/注射；</w:t>
              <w:br/>
              <w:br/>
              <w:t>27.   皮升级注射精度，流量速率：3.66 pl/min(0.5ul注射器)-3.818 ml/min(1000ul注射器)；</w:t>
              <w:br/>
              <w:br/>
              <w:t xml:space="preserve">28.   步进速率：27.5 秒/微步-52微秒/微步 0.433 um/min-228.97 mm/min </w:t>
              <w:br/>
              <w:br/>
              <w:t xml:space="preserve">29.   精确度：±0.5% 重复性：±0.05% </w:t>
              <w:br/>
              <w:br/>
              <w:t>30.   物理尺寸：22.6 x 17.78 x 9.32 cm （1.96kg ）</w:t>
              <w:br/>
              <w:br/>
              <w:t>31.   恒定速率下可实现定量或者定时两种注射或吸收方式；</w:t>
              <w:br/>
              <w:br/>
              <w:t xml:space="preserve">32.   可与多个品牌的进口注射器或国产微量注射器搭配使用，主机内置Hamilton、 SGE等多个品牌和系列注射器常用规格表 </w:t>
              <w:br/>
              <w:br/>
              <w:t xml:space="preserve">33.   4.3英寸WQVGA TFT彩色液晶触控面板设置参数（注射器直径、注射速率、 注射量、注射/回抽操作方式、内置注射器规格等） </w:t>
              <w:br/>
              <w:br/>
              <w:t xml:space="preserve">34.   可与脑立体定位仪配合使用（固定Bar外径8mm) </w:t>
              <w:br/>
              <w:br/>
            </w:r>
          </w:p>
        </w:tc>
      </w:tr>
      <w:tr>
        <w:tc>
          <w:tcPr>
            <w:tcW w:type="dxa" w:w="2160"/>
          </w:tcPr>
          <w:p>
            <w:r>
              <w:t>2</w:t>
            </w:r>
          </w:p>
        </w:tc>
        <w:tc>
          <w:tcPr>
            <w:tcW w:type="dxa" w:w="2160"/>
          </w:tcPr>
          <w:p>
            <w:r>
              <w:t>主机要求</w:t>
            </w:r>
          </w:p>
        </w:tc>
        <w:tc>
          <w:tcPr>
            <w:tcW w:type="dxa" w:w="4320"/>
            <w:gridSpan w:val="2"/>
          </w:tcPr>
          <w:p>
            <w:r/>
          </w:p>
        </w:tc>
      </w:tr>
      <w:tr>
        <w:tc>
          <w:tcPr>
            <w:tcW w:type="dxa" w:w="2160"/>
          </w:tcPr>
          <w:p>
            <w:r>
              <w:t>2</w:t>
            </w:r>
          </w:p>
        </w:tc>
        <w:tc>
          <w:tcPr>
            <w:tcW w:type="dxa" w:w="2160"/>
          </w:tcPr>
          <w:p>
            <w:r>
              <w:t>附属设备要求</w:t>
            </w:r>
          </w:p>
        </w:tc>
        <w:tc>
          <w:tcPr>
            <w:tcW w:type="dxa" w:w="4320"/>
            <w:gridSpan w:val="2"/>
          </w:tcPr>
          <w:p>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脑立体定位仪</w:t>
            </w:r>
          </w:p>
        </w:tc>
        <w:tc>
          <w:tcPr>
            <w:tcW w:type="dxa" w:w="2160"/>
          </w:tcPr>
          <w:p>
            <w:r>
              <w:t>台</w:t>
            </w:r>
          </w:p>
        </w:tc>
        <w:tc>
          <w:tcPr>
            <w:tcW w:type="dxa" w:w="2160"/>
          </w:tcPr>
          <w:p>
            <w:r>
              <w:t>1</w:t>
            </w:r>
          </w:p>
        </w:tc>
      </w:tr>
      <w:tr>
        <w:tc>
          <w:tcPr>
            <w:tcW w:type="dxa" w:w="2160"/>
          </w:tcPr>
          <w:p>
            <w:r>
              <w:t>2</w:t>
            </w:r>
          </w:p>
        </w:tc>
        <w:tc>
          <w:tcPr>
            <w:tcW w:type="dxa" w:w="2160"/>
          </w:tcPr>
          <w:p>
            <w:r>
              <w:t>微量注射泵</w:t>
            </w:r>
          </w:p>
        </w:tc>
        <w:tc>
          <w:tcPr>
            <w:tcW w:type="dxa" w:w="2160"/>
          </w:tcPr>
          <w:p>
            <w:r>
              <w:t>台</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 一般情况下国产货物自签订合同之日起 30 日历日内、进口货物自60日历日内交货并安装调试交付验收，特殊情况下国产货物可延迟至 60 日、进口设备可延迟至 90 日交货。</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★1.4提供设备原厂服务，负责货物的终身维修，保证10年以上供应维修配件，5年内免费提供软件升级服务，并免费配合医院完成设备端信息化接口改造。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 投标人应确保年开机率在95%以上, 若不能达到此开机率，将作以下处理：a. 年开机率在90-95%之间按一赔五延长保修期；b. 年开机率在85-90%之间按一赔十延长保修期；c. 年开机率低于85%，投标人必须无条件更换新机，并重新计算保修期，以及赔偿用户的直接经济损失和间接经济损失。注：年开机率=（365-停机天数）/365）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1.1由设备制造商提供售后服务，4小时内响应，24小时维修到位（不可抗力情况除外）。消耗品和零配件供应及时，特殊情况下可提供备用机。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 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1</w:t>
            </w:r>
          </w:p>
        </w:tc>
        <w:tc>
          <w:tcPr>
            <w:tcW w:type="dxa" w:w="2880"/>
            <w:vMerge w:val="restart"/>
          </w:tcPr>
          <w:p>
            <w:r>
              <w:t>交货条件</w:t>
            </w:r>
          </w:p>
        </w:tc>
        <w:tc>
          <w:tcPr>
            <w:tcW w:type="dxa" w:w="2880"/>
          </w:tcPr>
          <w:p>
            <w:r>
              <w:t>★1.1投标人在签订合同之日起 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p>
        </w:tc>
      </w:tr>
      <w:tr>
        <w:tc>
          <w:tcPr>
            <w:tcW w:type="dxa" w:w="2880"/>
            <w:vMerge w:val="restart"/>
          </w:tcPr>
          <w:p>
            <w:r>
              <w:t>2</w:t>
            </w:r>
          </w:p>
        </w:tc>
        <w:tc>
          <w:tcPr>
            <w:tcW w:type="dxa" w:w="2880"/>
            <w:vMerge w:val="restart"/>
          </w:tcPr>
          <w:p>
            <w:r>
              <w:t>运输、安装和验收</w:t>
            </w: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7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5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2.5设备安装过程中不得破坏已有设备、器具和装修，如有损坏，需无条件恢复原状。</w:t>
            </w:r>
          </w:p>
        </w:tc>
      </w:tr>
      <w:tr>
        <w:tc>
          <w:tcPr>
            <w:tcW w:type="dxa" w:w="2880"/>
            <w:vMerge/>
          </w:tcPr>
          <w:p/>
        </w:tc>
        <w:tc>
          <w:tcPr>
            <w:tcW w:type="dxa" w:w="2880"/>
            <w:vMerge/>
          </w:tcPr>
          <w:p/>
        </w:tc>
        <w:tc>
          <w:tcPr>
            <w:tcW w:type="dxa" w:w="2880"/>
          </w:tcPr>
          <w:p>
            <w:r>
              <w:t>2.6如安装过程需要吊装、搬运工人超过3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tc>
        <w:tc>
          <w:tcPr>
            <w:tcW w:type="dxa" w:w="2880"/>
          </w:tcPr>
          <w:p/>
        </w:tc>
        <w:tc>
          <w:tcPr>
            <w:tcW w:type="dxa" w:w="2880"/>
          </w:tcP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vMerge/>
          </w:tcPr>
          <w:p/>
        </w:tc>
        <w:tc>
          <w:tcPr>
            <w:tcW w:type="dxa" w:w="2880"/>
            <w:vMerge/>
          </w:tcPr>
          <w:p/>
        </w:tc>
        <w:tc>
          <w:tcPr>
            <w:tcW w:type="dxa" w:w="2880"/>
          </w:tcPr>
          <w:p>
            <w:r/>
          </w:p>
        </w:tc>
      </w:tr>
      <w:tr>
        <w:tc>
          <w:tcPr>
            <w:tcW w:type="dxa" w:w="2880"/>
            <w:vMerge/>
          </w:tcPr>
          <w:p/>
        </w:tc>
        <w:tc>
          <w:tcPr>
            <w:tcW w:type="dxa" w:w="2880"/>
            <w:vMerge/>
          </w:tcPr>
          <w:p/>
        </w:tc>
        <w:tc>
          <w:tcPr>
            <w:tcW w:type="dxa" w:w="2880"/>
          </w:tcPr>
          <w:p>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tbl>
      <w:tblPr>
        <w:tblStyle w:val="TableGrid"/>
        <w:tblW w:type="auto" w:w="0"/>
        <w:tblLook w:firstColumn="1" w:firstRow="1" w:lastColumn="0" w:lastRow="0" w:noHBand="0" w:noVBand="1" w:val="04A0"/>
      </w:tblPr>
      <w:tblGrid>
        <w:gridCol w:w="1440"/>
        <w:gridCol w:w="1440"/>
        <w:gridCol w:w="1440"/>
        <w:gridCol w:w="1440"/>
        <w:gridCol w:w="1440"/>
        <w:gridCol w:w="1440"/>
      </w:tblGrid>
      <w:tr>
        <w:tc>
          <w:tcPr>
            <w:tcW w:type="dxa" w:w="1440"/>
            <w:vMerge w:val="restart"/>
          </w:tcPr>
          <w:p>
            <w:r>
              <w:t>9</w:t>
            </w:r>
          </w:p>
        </w:tc>
        <w:tc>
          <w:tcPr>
            <w:tcW w:type="dxa" w:w="1440"/>
          </w:tcPr>
          <w:p>
            <w:r>
              <w:t>配件名称</w:t>
            </w:r>
          </w:p>
        </w:tc>
        <w:tc>
          <w:tcPr>
            <w:tcW w:type="dxa" w:w="1440"/>
          </w:tcPr>
          <w:p>
            <w:r>
              <w:t>单位</w:t>
            </w:r>
          </w:p>
        </w:tc>
        <w:tc>
          <w:tcPr>
            <w:tcW w:type="dxa" w:w="1440"/>
          </w:tcPr>
          <w:p>
            <w:r>
              <w:t>单价</w:t>
            </w:r>
          </w:p>
        </w:tc>
        <w:tc>
          <w:tcPr>
            <w:tcW w:type="dxa" w:w="1440"/>
          </w:tcPr>
          <w:p>
            <w:r>
              <w:t>生产厂商</w:t>
            </w:r>
          </w:p>
        </w:tc>
        <w:tc>
          <w:tcPr>
            <w:tcW w:type="dxa" w:w="1440"/>
          </w:tcPr>
          <w:p>
            <w:r>
              <w:t>备注</w:t>
            </w:r>
          </w:p>
        </w:tc>
      </w:tr>
      <w:tr>
        <w:tc>
          <w:tcPr>
            <w:tcW w:type="dxa" w:w="1440"/>
            <w:vMerge/>
          </w:tcPr>
          <w:p/>
        </w:tc>
        <w:tc>
          <w:tcPr>
            <w:tcW w:type="dxa" w:w="1440"/>
          </w:tcPr>
          <w:p/>
        </w:tc>
        <w:tc>
          <w:tcPr>
            <w:tcW w:type="dxa" w:w="1440"/>
          </w:tcPr>
          <w:p/>
        </w:tc>
        <w:tc>
          <w:tcPr>
            <w:tcW w:type="dxa" w:w="1440"/>
          </w:tcPr>
          <w:p/>
        </w:tc>
        <w:tc>
          <w:tcPr>
            <w:tcW w:type="dxa" w:w="1440"/>
          </w:tcPr>
          <w:p/>
        </w:tc>
        <w:tc>
          <w:tcPr>
            <w:tcW w:type="dxa" w:w="1440"/>
          </w:tcP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