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一、具体技术要求</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序号</w:t>
            </w:r>
          </w:p>
        </w:tc>
        <w:tc>
          <w:tcPr>
            <w:tcW w:type="dxa" w:w="2160"/>
          </w:tcPr>
          <w:p>
            <w:r>
              <w:t>货物名称</w:t>
            </w:r>
          </w:p>
        </w:tc>
        <w:tc>
          <w:tcPr>
            <w:tcW w:type="dxa" w:w="4320"/>
            <w:gridSpan w:val="2"/>
          </w:tcPr>
          <w:p>
            <w:r>
              <w:t>技术要求</w:t>
            </w:r>
          </w:p>
        </w:tc>
      </w:tr>
      <w:tr>
        <w:tc>
          <w:tcPr>
            <w:tcW w:type="dxa" w:w="4320"/>
            <w:gridSpan w:val="2"/>
          </w:tcPr>
          <w:p>
            <w:r>
              <w:t>总体要求</w:t>
            </w:r>
          </w:p>
        </w:tc>
        <w:tc>
          <w:tcPr>
            <w:tcW w:type="dxa" w:w="4320"/>
            <w:gridSpan w:val="2"/>
          </w:tcPr>
          <w:p>
            <w:r>
              <w:t>一、采集盒：</w:t>
              <w:br/>
              <w:br/>
              <w:t>▲1.1外形精巧，体积小，重量≤50g，方便受检者佩戴（提供产品说明书证明）</w:t>
              <w:br/>
              <w:br/>
              <w:t>1.2 SD卡存储，容量≥1G</w:t>
              <w:br/>
              <w:br/>
              <w:t>1.3 配备3键键盘，方便设置记录器的记录参数、波形切换等操作；具有事件按钮，可以准确记录事件发生的时间</w:t>
              <w:br/>
              <w:br/>
              <w:t>▲1.4 采集盒支持IPX7防水（提供产品说明书证明）</w:t>
              <w:br/>
              <w:br/>
              <w:t>1.5全彩LCD液晶屏幕，可显示波形、电池电量、记录时间、记录状态、病人信息、事件标记、起搏状态等信息</w:t>
              <w:br/>
              <w:br/>
              <w:t>1.6灵活的数据传输方式，同时支持SD卡和USB2.0高速传输、读取数据</w:t>
              <w:br/>
              <w:br/>
              <w:t>1.7病历保护功能，如果监测到记录器中含有未分析的数据，记录盒会报警提示，保证数据不丢失</w:t>
              <w:br/>
              <w:br/>
              <w:t>二、信号处理</w:t>
              <w:br/>
              <w:br/>
              <w:t>2.1频率响应：0.05～60Hz</w:t>
              <w:br/>
              <w:br/>
              <w:t>▲2.2输入阻抗：≥20MΩ（提供检测报告证明）</w:t>
              <w:br/>
              <w:br/>
              <w:t xml:space="preserve">2.3输入回路电流：≤0.1μA   </w:t>
              <w:br/>
              <w:br/>
              <w:t xml:space="preserve">2.4耐极化电压：±300mV          </w:t>
              <w:br/>
              <w:br/>
              <w:t>▲2.5共模抑制比（CMRR）：≥100dB（提供检测报告证明）</w:t>
              <w:br/>
              <w:br/>
              <w:t xml:space="preserve">▲2.6时间常数：≥4s（提供检测报告证明）          </w:t>
              <w:br/>
              <w:br/>
              <w:t xml:space="preserve">2.7记录通道：12导、3导二合一，自动识别导联类型、完成记录模式切换   </w:t>
              <w:br/>
              <w:br/>
              <w:t>▲2.8 A/D采样率：≥25000 sps；A/D精度：24位（提供产品说明书证明）</w:t>
              <w:br/>
              <w:br/>
              <w:t>2.9起搏检测：多通道同时检测，可识别±2mV~±200mV, 0.1~2.0ms的起搏信号</w:t>
              <w:br/>
              <w:br/>
              <w:t>三、分析软件</w:t>
              <w:br/>
              <w:br/>
              <w:t>3.1 软件同时兼容3/12导联记录盒</w:t>
              <w:br/>
              <w:br/>
              <w:t>▲3.2 根据用户需要，可自由配置软件界面工作流程（提供分析软件界面截图证明）</w:t>
              <w:br/>
              <w:br/>
              <w:t>3.3 专用儿童模式：提供针对儿童的特异性分析算法来进行儿童患者的数据分析，提高分析的准确性</w:t>
              <w:br/>
              <w:br/>
              <w:t>3.4 具备多种实用心电图编辑工具：如测量、波形放大、导联反转、保存片段图等，方便医生进行心电波形的查看及保存</w:t>
              <w:br/>
              <w:br/>
              <w:t>▲3.5可自动识别正常、房早、室早、插入性室早、起搏、伪差等心拍类型，并支持不少于20种模板分类选项（提供分析软件界面截图证明）</w:t>
              <w:br/>
              <w:br/>
              <w:t>▲3.6支持Lorenz散点图、叠加图、时间散点图、小时散点图、片段图、导联片段图等分析工具在同一页面显示，快速有效的协助用户进行心拍分析；支持分时散点图功能，辅助快速诊断阵发性房颤（提供分析软件界面截图证明）</w:t>
              <w:br/>
              <w:br/>
              <w:t>3.7具有反混淆分析功能，模扳聚类后可将模扳内的心电波形叠加,并能根据形态差异分辨出所需要的心搏并加以修改，可浏览、分析、修改波形</w:t>
              <w:br/>
              <w:br/>
              <w:t>3.8自动检测房颤/房扑，列表显示房颤/房扑发生的时间、持续时间等，支持对房颤/房扑事件的手动修改，并可一键定义全程房颤</w:t>
              <w:br/>
              <w:br/>
              <w:t>▲3.9软件对记录的所有动态心电图数据的ST段变化进行统计总结，显示ST段变化的趋势，ST测量不准确时，可以进行ST段重分析（提供分析软件界面截图证明）</w:t>
              <w:br/>
              <w:br/>
              <w:t>3.10 多通道采集起搏器脉冲信号,并可对AOO、VOO、AAI、VVI、DDD等十六种起搏器进行分析</w:t>
              <w:br/>
              <w:br/>
              <w:t>3.11 支持心率变异自动分析：从R-R间期散点图、时域趋势图、频域趋势图、时域趋势表、频域趋势表、长时程心率变异、心率变异三维图等多个方面分析，分析全面到位</w:t>
              <w:br/>
              <w:br/>
              <w:t>▲3.12 支持p波分析功能，可对患者24小时内的p波进行自动分析，辅助诊断房早未下传、一度\二度房室传导阻滞等房室传导异常事件（提供分析软件界面截图证明）</w:t>
              <w:br/>
              <w:br/>
              <w:t>▲3.13 支持主界面与心电条图界面分屏显示，双屏联动快速定位及分类波形（提供实物证明）</w:t>
              <w:br/>
              <w:br/>
              <w:t>四、产品认证：</w:t>
              <w:br/>
              <w:br/>
              <w:t>4.1产品通过欧盟CE认证、FDA认证</w:t>
              <w:br/>
              <w:br/>
              <w:t>4.2公司需要通过ISO13485质量管理体系和ISO14001环境质量认证</w:t>
              <w:br/>
              <w:br/>
              <w:t>▲4.3 产品入选“优秀国产医疗设备产品目录”（提供证明文件证明）</w:t>
              <w:br/>
              <w:br/>
              <w:br/>
              <w:br/>
              <w:t>动态心电网络系统参数</w:t>
              <w:br/>
              <w:br/>
              <w:t>1.</w:t>
              <w:tab/>
              <w:t>支持系统数据的“加密锁”功能，以保障数据的安全性；（提供第三方有检测报告复印件）</w:t>
              <w:br/>
              <w:br/>
              <w:t>2.</w:t>
              <w:tab/>
              <w:t>▲提供动态心电、动态血压工作站接口，实现动态心电、动态血压工作站报告的统一存储，统一管理，并实现报告与电子病历系统的回传；</w:t>
              <w:br/>
              <w:br/>
              <w:t>3.</w:t>
              <w:tab/>
              <w:t>完善全院动态心电设备报告的管理，实现报告的统一管理与分发；</w:t>
              <w:br/>
              <w:br/>
              <w:t>4.</w:t>
              <w:tab/>
              <w:t>支持升级选配静态心电、运动心电、动态心电、动态血压在同一套系统进行诊断分析；</w:t>
              <w:br/>
              <w:br/>
              <w:t>5.</w:t>
              <w:tab/>
              <w:t>▲支持升级选配集成全院动态心电设备，包含但不限于动态心电、动态血压、脑电图、肺功能、骨密度仪、经颅多普勒（TCD）等电生理设备接入，支持信息提取、内容填充、信息注入等功能，报告支持填充自定义信息；（提供检验报告复印件）</w:t>
              <w:br/>
              <w:br/>
              <w:t>6.</w:t>
              <w:tab/>
              <w:t>支持与医院现有信息化系统的全面接入，如HIS、体检、集成平台等，所有数据互联互通；</w:t>
              <w:br/>
              <w:br/>
              <w:t>7.</w:t>
              <w:tab/>
              <w:t>支持视图、存储过程、Webservice、DICOM、HL7等多种对接方式；</w:t>
              <w:br/>
              <w:br/>
              <w:t>8.</w:t>
              <w:tab/>
              <w:t>支持检查套餐报告配置功能；</w:t>
              <w:br/>
              <w:br/>
              <w:t>9.</w:t>
              <w:tab/>
              <w:t>▲系统获得IHE证书，通过10个功能角色，即采集设备MOD，检查申请受理OF，执行步骤管理PPSM，图像管理IM，报告创建RC，图像显示ID，报告管理RM，证据创建者EC，显示心电图DISPLAY，心电数据源INFO_SRC的测试；（提供相应证书）</w:t>
              <w:br/>
              <w:br/>
              <w:t>10.</w:t>
              <w:tab/>
              <w:t>支持自动判别网络连接状态，当网络中断时可实现离线采集，当网络恢复后和自动同步上传；</w:t>
              <w:br/>
              <w:br/>
              <w:t>11.</w:t>
              <w:tab/>
              <w:t>具备权限管理功能，所有重要操作都可设置权限，且角色权限可自定义，不同角色可分别设置不同操作权限；</w:t>
              <w:br/>
              <w:br/>
              <w:t>12.</w:t>
              <w:tab/>
              <w:t>支持严谨的权限控制，支持操作权限的细分，包括预约、检查、诊断、申请单作废、查看打印报告、系统设置等。</w:t>
              <w:br/>
              <w:br/>
            </w:r>
          </w:p>
        </w:tc>
      </w:tr>
      <w:tr>
        <w:tc>
          <w:tcPr>
            <w:tcW w:type="dxa" w:w="2160"/>
          </w:tcPr>
          <w:p>
            <w:r>
              <w:t>2</w:t>
            </w:r>
          </w:p>
        </w:tc>
        <w:tc>
          <w:tcPr>
            <w:tcW w:type="dxa" w:w="2160"/>
          </w:tcPr>
          <w:p>
            <w:r>
              <w:t>主机要求</w:t>
            </w:r>
          </w:p>
        </w:tc>
        <w:tc>
          <w:tcPr>
            <w:tcW w:type="dxa" w:w="4320"/>
            <w:gridSpan w:val="2"/>
          </w:tcPr>
          <w:p>
            <w:r/>
          </w:p>
        </w:tc>
      </w:tr>
      <w:tr>
        <w:tc>
          <w:tcPr>
            <w:tcW w:type="dxa" w:w="2160"/>
          </w:tcPr>
          <w:p>
            <w:r>
              <w:t>2</w:t>
            </w:r>
          </w:p>
        </w:tc>
        <w:tc>
          <w:tcPr>
            <w:tcW w:type="dxa" w:w="2160"/>
          </w:tcPr>
          <w:p>
            <w:r>
              <w:t>附属设备要求</w:t>
            </w:r>
          </w:p>
        </w:tc>
        <w:tc>
          <w:tcPr>
            <w:tcW w:type="dxa" w:w="4320"/>
            <w:gridSpan w:val="2"/>
          </w:tcPr>
          <w:p>
            <w:r/>
          </w:p>
        </w:tc>
      </w:tr>
      <w:tr>
        <w:tc>
          <w:tcPr>
            <w:tcW w:type="dxa" w:w="8640"/>
            <w:gridSpan w:val="4"/>
          </w:tcPr>
          <w:p>
            <w:r>
              <w:t>配置清单 (注：配置清单需明确数量、单位、且不可涉及产地品牌型号等)</w:t>
            </w:r>
          </w:p>
        </w:tc>
      </w:tr>
      <w:tr>
        <w:tc>
          <w:tcPr>
            <w:tcW w:type="dxa" w:w="2160"/>
          </w:tcPr>
          <w:p>
            <w:r>
              <w:t>序号</w:t>
            </w:r>
          </w:p>
        </w:tc>
        <w:tc>
          <w:tcPr>
            <w:tcW w:type="dxa" w:w="2160"/>
          </w:tcPr>
          <w:p>
            <w:r>
              <w:t>名称</w:t>
            </w:r>
          </w:p>
        </w:tc>
        <w:tc>
          <w:tcPr>
            <w:tcW w:type="dxa" w:w="2160"/>
          </w:tcPr>
          <w:p>
            <w:r>
              <w:t>单位</w:t>
            </w:r>
          </w:p>
        </w:tc>
        <w:tc>
          <w:tcPr>
            <w:tcW w:type="dxa" w:w="2160"/>
          </w:tcPr>
          <w:p>
            <w:r>
              <w:t>数量</w:t>
            </w:r>
          </w:p>
        </w:tc>
      </w:tr>
      <w:tr>
        <w:tc>
          <w:tcPr>
            <w:tcW w:type="dxa" w:w="2160"/>
          </w:tcPr>
          <w:p>
            <w:r>
              <w:t>1</w:t>
            </w:r>
          </w:p>
        </w:tc>
        <w:tc>
          <w:tcPr>
            <w:tcW w:type="dxa" w:w="2160"/>
          </w:tcPr>
          <w:p>
            <w:r>
              <w:t>十二道记录器</w:t>
            </w:r>
          </w:p>
        </w:tc>
        <w:tc>
          <w:tcPr>
            <w:tcW w:type="dxa" w:w="2160"/>
          </w:tcPr>
          <w:p>
            <w:r>
              <w:t>个</w:t>
            </w:r>
          </w:p>
        </w:tc>
        <w:tc>
          <w:tcPr>
            <w:tcW w:type="dxa" w:w="2160"/>
          </w:tcPr>
          <w:p>
            <w:r>
              <w:t>2</w:t>
            </w:r>
          </w:p>
        </w:tc>
      </w:tr>
      <w:tr>
        <w:tc>
          <w:tcPr>
            <w:tcW w:type="dxa" w:w="2160"/>
          </w:tcPr>
          <w:p>
            <w:r>
              <w:t>2</w:t>
            </w:r>
          </w:p>
        </w:tc>
        <w:tc>
          <w:tcPr>
            <w:tcW w:type="dxa" w:w="2160"/>
          </w:tcPr>
          <w:p>
            <w:r>
              <w:t>10电极导联线</w:t>
            </w:r>
          </w:p>
        </w:tc>
        <w:tc>
          <w:tcPr>
            <w:tcW w:type="dxa" w:w="2160"/>
          </w:tcPr>
          <w:p>
            <w:r>
              <w:t>条</w:t>
            </w:r>
          </w:p>
        </w:tc>
        <w:tc>
          <w:tcPr>
            <w:tcW w:type="dxa" w:w="2160"/>
          </w:tcPr>
          <w:p>
            <w:r>
              <w:t>2</w:t>
            </w:r>
          </w:p>
        </w:tc>
      </w:tr>
      <w:tr>
        <w:tc>
          <w:tcPr>
            <w:tcW w:type="dxa" w:w="2160"/>
          </w:tcPr>
          <w:p>
            <w:r>
              <w:t>3</w:t>
            </w:r>
          </w:p>
        </w:tc>
        <w:tc>
          <w:tcPr>
            <w:tcW w:type="dxa" w:w="2160"/>
          </w:tcPr>
          <w:p>
            <w:r>
              <w:t>SD闪光卡</w:t>
            </w:r>
          </w:p>
        </w:tc>
        <w:tc>
          <w:tcPr>
            <w:tcW w:type="dxa" w:w="2160"/>
          </w:tcPr>
          <w:p>
            <w:r>
              <w:t>个</w:t>
            </w:r>
          </w:p>
        </w:tc>
        <w:tc>
          <w:tcPr>
            <w:tcW w:type="dxa" w:w="2160"/>
          </w:tcPr>
          <w:p>
            <w:r>
              <w:t>2</w:t>
            </w:r>
          </w:p>
        </w:tc>
      </w:tr>
      <w:tr>
        <w:tc>
          <w:tcPr>
            <w:tcW w:type="dxa" w:w="2160"/>
          </w:tcPr>
          <w:p>
            <w:r>
              <w:t>4</w:t>
            </w:r>
          </w:p>
        </w:tc>
        <w:tc>
          <w:tcPr>
            <w:tcW w:type="dxa" w:w="2160"/>
          </w:tcPr>
          <w:p>
            <w:r>
              <w:t>腰带和挂绳，布套</w:t>
            </w:r>
          </w:p>
        </w:tc>
        <w:tc>
          <w:tcPr>
            <w:tcW w:type="dxa" w:w="2160"/>
          </w:tcPr>
          <w:p>
            <w:r>
              <w:t>套</w:t>
            </w:r>
          </w:p>
        </w:tc>
        <w:tc>
          <w:tcPr>
            <w:tcW w:type="dxa" w:w="2160"/>
          </w:tcPr>
          <w:p>
            <w:r>
              <w:t>2</w:t>
            </w:r>
          </w:p>
        </w:tc>
      </w:tr>
      <w:tr>
        <w:tc>
          <w:tcPr>
            <w:tcW w:type="dxa" w:w="2160"/>
          </w:tcPr>
          <w:p>
            <w:r>
              <w:t>5</w:t>
            </w:r>
          </w:p>
        </w:tc>
        <w:tc>
          <w:tcPr>
            <w:tcW w:type="dxa" w:w="2160"/>
          </w:tcPr>
          <w:p>
            <w:r>
              <w:t>USB数据传输线</w:t>
            </w:r>
          </w:p>
        </w:tc>
        <w:tc>
          <w:tcPr>
            <w:tcW w:type="dxa" w:w="2160"/>
          </w:tcPr>
          <w:p>
            <w:r>
              <w:t>条</w:t>
            </w:r>
          </w:p>
        </w:tc>
        <w:tc>
          <w:tcPr>
            <w:tcW w:type="dxa" w:w="2160"/>
          </w:tcPr>
          <w:p>
            <w:r>
              <w:t>2</w:t>
            </w:r>
          </w:p>
        </w:tc>
      </w:tr>
      <w:tr>
        <w:tc>
          <w:tcPr>
            <w:tcW w:type="dxa" w:w="2160"/>
          </w:tcPr>
          <w:p>
            <w:r>
              <w:t>6</w:t>
            </w:r>
          </w:p>
        </w:tc>
        <w:tc>
          <w:tcPr>
            <w:tcW w:type="dxa" w:w="2160"/>
          </w:tcPr>
          <w:p>
            <w:r>
              <w:t>软件CD</w:t>
            </w:r>
          </w:p>
        </w:tc>
        <w:tc>
          <w:tcPr>
            <w:tcW w:type="dxa" w:w="2160"/>
          </w:tcPr>
          <w:p>
            <w:r>
              <w:t>个</w:t>
            </w:r>
          </w:p>
        </w:tc>
        <w:tc>
          <w:tcPr>
            <w:tcW w:type="dxa" w:w="2160"/>
          </w:tcPr>
          <w:p>
            <w:r>
              <w:t>2</w:t>
            </w:r>
          </w:p>
        </w:tc>
      </w:tr>
      <w:tr>
        <w:tc>
          <w:tcPr>
            <w:tcW w:type="dxa" w:w="2160"/>
          </w:tcPr>
          <w:p>
            <w:r>
              <w:t>7</w:t>
            </w:r>
          </w:p>
        </w:tc>
        <w:tc>
          <w:tcPr>
            <w:tcW w:type="dxa" w:w="2160"/>
          </w:tcPr>
          <w:p>
            <w:r>
              <w:t xml:space="preserve">加密狗 </w:t>
            </w:r>
          </w:p>
        </w:tc>
        <w:tc>
          <w:tcPr>
            <w:tcW w:type="dxa" w:w="2160"/>
          </w:tcPr>
          <w:p>
            <w:r>
              <w:t>根</w:t>
            </w:r>
          </w:p>
        </w:tc>
        <w:tc>
          <w:tcPr>
            <w:tcW w:type="dxa" w:w="2160"/>
          </w:tcPr>
          <w:p>
            <w:r>
              <w:t>2</w:t>
            </w:r>
          </w:p>
        </w:tc>
      </w:tr>
      <w:tr>
        <w:tc>
          <w:tcPr>
            <w:tcW w:type="dxa" w:w="2160"/>
          </w:tcPr>
          <w:p>
            <w:r>
              <w:t>8</w:t>
            </w:r>
          </w:p>
        </w:tc>
        <w:tc>
          <w:tcPr>
            <w:tcW w:type="dxa" w:w="2160"/>
          </w:tcPr>
          <w:p>
            <w:r>
              <w:t>软件说明书</w:t>
            </w:r>
          </w:p>
        </w:tc>
        <w:tc>
          <w:tcPr>
            <w:tcW w:type="dxa" w:w="2160"/>
          </w:tcPr>
          <w:p>
            <w:r>
              <w:t>本</w:t>
            </w:r>
          </w:p>
        </w:tc>
        <w:tc>
          <w:tcPr>
            <w:tcW w:type="dxa" w:w="2160"/>
          </w:tcPr>
          <w:p>
            <w:r>
              <w:t>2</w:t>
            </w:r>
          </w:p>
        </w:tc>
      </w:tr>
      <w:tr>
        <w:tc>
          <w:tcPr>
            <w:tcW w:type="dxa" w:w="2160"/>
          </w:tcPr>
          <w:p>
            <w:r>
              <w:t>9</w:t>
            </w:r>
          </w:p>
        </w:tc>
        <w:tc>
          <w:tcPr>
            <w:tcW w:type="dxa" w:w="2160"/>
          </w:tcPr>
          <w:p>
            <w:r>
              <w:t>记录器说明书</w:t>
            </w:r>
          </w:p>
        </w:tc>
        <w:tc>
          <w:tcPr>
            <w:tcW w:type="dxa" w:w="2160"/>
          </w:tcPr>
          <w:p>
            <w:r>
              <w:t>本</w:t>
            </w:r>
          </w:p>
        </w:tc>
        <w:tc>
          <w:tcPr>
            <w:tcW w:type="dxa" w:w="2160"/>
          </w:tcPr>
          <w:p>
            <w:r>
              <w:t>2</w:t>
            </w:r>
          </w:p>
        </w:tc>
      </w:tr>
      <w:tr>
        <w:tc>
          <w:tcPr>
            <w:tcW w:type="dxa" w:w="2160"/>
          </w:tcPr>
          <w:p>
            <w:r>
              <w:t>10</w:t>
            </w:r>
          </w:p>
        </w:tc>
        <w:tc>
          <w:tcPr>
            <w:tcW w:type="dxa" w:w="2160"/>
          </w:tcPr>
          <w:p>
            <w:r>
              <w:t>一次性电极片</w:t>
            </w:r>
          </w:p>
        </w:tc>
        <w:tc>
          <w:tcPr>
            <w:tcW w:type="dxa" w:w="2160"/>
          </w:tcPr>
          <w:p>
            <w:r>
              <w:t>包</w:t>
            </w:r>
          </w:p>
        </w:tc>
        <w:tc>
          <w:tcPr>
            <w:tcW w:type="dxa" w:w="2160"/>
          </w:tcPr>
          <w:p>
            <w:r>
              <w:t>2</w:t>
            </w:r>
          </w:p>
        </w:tc>
      </w:tr>
    </w:tbl>
    <w:p>
      <w:r>
        <w:t>二、商务条款</w:t>
      </w:r>
    </w:p>
    <w:tbl>
      <w:tblPr>
        <w:tblStyle w:val="TableGrid"/>
        <w:tblW w:type="auto" w:w="0"/>
        <w:tblLook w:firstColumn="1" w:firstRow="1" w:lastColumn="0" w:lastRow="0" w:noHBand="0" w:noVBand="1" w:val="04A0"/>
      </w:tblPr>
      <w:tblGrid>
        <w:gridCol w:w="2880"/>
        <w:gridCol w:w="2880"/>
        <w:gridCol w:w="2880"/>
      </w:tblGrid>
      <w:tr>
        <w:tc>
          <w:tcPr>
            <w:tcW w:type="dxa" w:w="2880"/>
          </w:tcPr>
          <w:p>
            <w:r>
              <w:t>序号</w:t>
            </w:r>
          </w:p>
        </w:tc>
        <w:tc>
          <w:tcPr>
            <w:tcW w:type="dxa" w:w="2880"/>
          </w:tcPr>
          <w:p>
            <w:r>
              <w:t>目录</w:t>
            </w:r>
          </w:p>
        </w:tc>
        <w:tc>
          <w:tcPr>
            <w:tcW w:type="dxa" w:w="2880"/>
          </w:tcPr>
          <w:p>
            <w:r>
              <w:t>商务要求</w:t>
            </w:r>
          </w:p>
        </w:tc>
      </w:tr>
      <w:tr>
        <w:tc>
          <w:tcPr>
            <w:tcW w:type="dxa" w:w="8640"/>
            <w:gridSpan w:val="3"/>
          </w:tcPr>
          <w:p>
            <w:r>
              <w:t>（一）免费保修期内售后服务要求</w:t>
            </w:r>
          </w:p>
        </w:tc>
      </w:tr>
      <w:tr>
        <w:tc>
          <w:tcPr>
            <w:tcW w:type="dxa" w:w="2880"/>
            <w:vMerge w:val="restart"/>
          </w:tcPr>
          <w:p>
            <w:r>
              <w:t>1</w:t>
            </w:r>
          </w:p>
        </w:tc>
        <w:tc>
          <w:tcPr>
            <w:tcW w:type="dxa" w:w="2880"/>
            <w:vMerge w:val="restart"/>
          </w:tcPr>
          <w:p>
            <w:r>
              <w:t>维修及维护服务</w:t>
            </w:r>
          </w:p>
        </w:tc>
        <w:tc>
          <w:tcPr>
            <w:tcW w:type="dxa" w:w="2880"/>
          </w:tcPr>
          <w:p>
            <w:r>
              <w:t>★1.1所投货物（含标准配置及可选配件）免费保修期 3 年,时间自最终验收合格并交付使用之日起计算。</w:t>
            </w:r>
          </w:p>
        </w:tc>
      </w:tr>
      <w:tr>
        <w:tc>
          <w:tcPr>
            <w:tcW w:type="dxa" w:w="2880"/>
            <w:vMerge/>
          </w:tcPr>
          <w:p/>
        </w:tc>
        <w:tc>
          <w:tcPr>
            <w:tcW w:type="dxa" w:w="2880"/>
            <w:vMerge/>
          </w:tcPr>
          <w:p/>
        </w:tc>
        <w:tc>
          <w:tcPr>
            <w:tcW w:type="dxa" w:w="2880"/>
          </w:tcPr>
          <w:p>
            <w:r>
              <w:t>1.2免费保修期内，年度定期预防性维护保养次数应不少于 4 次。保修期内免费更换零配件、免工时 费。每次预防性维护保养后应出具符合厂家标准的保养记录，每年度提供符合厂家技术标准或第三方认可的质控报告。</w:t>
            </w:r>
          </w:p>
        </w:tc>
      </w:tr>
      <w:tr>
        <w:tc>
          <w:tcPr>
            <w:tcW w:type="dxa" w:w="2880"/>
            <w:vMerge/>
          </w:tcPr>
          <w:p/>
        </w:tc>
        <w:tc>
          <w:tcPr>
            <w:tcW w:type="dxa" w:w="2880"/>
            <w:vMerge/>
          </w:tcPr>
          <w:p/>
        </w:tc>
        <w:tc>
          <w:tcPr>
            <w:tcW w:type="dxa" w:w="2880"/>
          </w:tcPr>
          <w:p>
            <w:r>
              <w:t>1.3由设备制造商提供售后服务，4 小时内响应，24 小时维修到位（不可抗力情况除外）。消耗品和零配件供应及时，特殊情况下可提供备用机。</w:t>
            </w:r>
          </w:p>
        </w:tc>
      </w:tr>
      <w:tr>
        <w:tc>
          <w:tcPr>
            <w:tcW w:type="dxa" w:w="2880"/>
            <w:vMerge/>
          </w:tcPr>
          <w:p/>
        </w:tc>
        <w:tc>
          <w:tcPr>
            <w:tcW w:type="dxa" w:w="2880"/>
            <w:vMerge/>
          </w:tcPr>
          <w:p/>
        </w:tc>
        <w:tc>
          <w:tcPr>
            <w:tcW w:type="dxa" w:w="2880"/>
          </w:tcPr>
          <w:p>
            <w:r>
              <w:t>★1.4提供设备原厂服务，负责货物的终身维修，保证 10 年以上供应维修配件，5 年内免费提供软件升级服务，并免费配合医院完成设备端信息化接口改造。</w:t>
            </w:r>
          </w:p>
        </w:tc>
      </w:tr>
      <w:tr>
        <w:tc>
          <w:tcPr>
            <w:tcW w:type="dxa" w:w="2880"/>
          </w:tcPr>
          <w:p>
            <w:r>
              <w:t>2</w:t>
            </w:r>
          </w:p>
        </w:tc>
        <w:tc>
          <w:tcPr>
            <w:tcW w:type="dxa" w:w="2880"/>
          </w:tcPr>
          <w:p>
            <w:r>
              <w:t>质量保证</w:t>
            </w:r>
          </w:p>
        </w:tc>
        <w:tc>
          <w:tcPr>
            <w:tcW w:type="dxa" w:w="2880"/>
          </w:tcPr>
          <w:p>
            <w:r>
              <w:t>2.1在免费保修期内，投标人应确保年开机率在95%以上，否则按照如下约定执行：①年开机率90~95%（含95%），保修期延长至原有保修期 5 倍；②年开机率在85~90%（含90%），保修期延长至原有保修期 10 倍；③年开机率低于85%（含85%），投标人必须无条件更换新机，赔偿用户的直接经济损失和间接经济损失，同时采购人扣除投标人剩余尾款或履约保证金。注：年开机率=（365-停机天数）/365）</w:t>
            </w:r>
          </w:p>
        </w:tc>
      </w:tr>
      <w:tr>
        <w:tc>
          <w:tcPr>
            <w:tcW w:type="dxa" w:w="8640"/>
            <w:gridSpan w:val="3"/>
          </w:tcPr>
          <w:p>
            <w:r>
              <w:t>（二）免费保修期外售后服务要求</w:t>
            </w:r>
          </w:p>
        </w:tc>
      </w:tr>
      <w:tr>
        <w:tc>
          <w:tcPr>
            <w:tcW w:type="dxa" w:w="2880"/>
            <w:vMerge w:val="restart"/>
          </w:tcPr>
          <w:p>
            <w:r>
              <w:t>1</w:t>
            </w:r>
          </w:p>
        </w:tc>
        <w:tc>
          <w:tcPr>
            <w:tcW w:type="dxa" w:w="2880"/>
            <w:vMerge w:val="restart"/>
          </w:tcPr>
          <w:p>
            <w:r>
              <w:t>服务内容及要求</w:t>
            </w:r>
          </w:p>
        </w:tc>
        <w:tc>
          <w:tcPr>
            <w:tcW w:type="dxa" w:w="2880"/>
          </w:tcPr>
          <w:p>
            <w:r>
              <w:t>1.1由设备制造商提供售后服务， 4 小时内响应，24 小时维修到位（不可抗力情况除外）。消耗品和零配件供应及时，特殊情况下可提供备用机。</w:t>
            </w:r>
          </w:p>
        </w:tc>
      </w:tr>
      <w:tr>
        <w:tc>
          <w:tcPr>
            <w:tcW w:type="dxa" w:w="2880"/>
            <w:vMerge/>
          </w:tcPr>
          <w:p/>
        </w:tc>
        <w:tc>
          <w:tcPr>
            <w:tcW w:type="dxa" w:w="2880"/>
            <w:vMerge/>
          </w:tcPr>
          <w:p/>
        </w:tc>
        <w:tc>
          <w:tcPr>
            <w:tcW w:type="dxa" w:w="2880"/>
          </w:tcPr>
          <w:p>
            <w:r>
              <w:t>★1.2免费保修期满后提供设备原厂服务，负责货物的终身维修，以优惠价供应维修零配件、消耗品和延续保修合同，保证免费保修期满后 7 年以上供应维修配件，2 年内免费提供软件升级服务。价格最高的前5项零配件、消耗品和延续全保修合同、部分备件与人工保修合同、仅人工保修合同的报价明细必须填写于《零配件、消耗品和延续保修合同报价明清单》中。</w:t>
            </w:r>
          </w:p>
        </w:tc>
      </w:tr>
      <w:tr>
        <w:tc>
          <w:tcPr>
            <w:tcW w:type="dxa" w:w="2880"/>
            <w:vMerge/>
          </w:tcPr>
          <w:p/>
        </w:tc>
        <w:tc>
          <w:tcPr>
            <w:tcW w:type="dxa" w:w="2880"/>
            <w:vMerge/>
          </w:tcPr>
          <w:p/>
        </w:tc>
        <w:tc>
          <w:tcPr>
            <w:tcW w:type="dxa" w:w="2880"/>
          </w:tcPr>
          <w:p>
            <w:r>
              <w:t>1.3维修的货物经采购人验收合格，且设备制造商提供维修专用发票后，采购人支付维修费用。</w:t>
            </w:r>
          </w:p>
        </w:tc>
      </w:tr>
      <w:tr>
        <w:tc>
          <w:tcPr>
            <w:tcW w:type="dxa" w:w="2880"/>
            <w:vMerge/>
          </w:tcPr>
          <w:p/>
        </w:tc>
        <w:tc>
          <w:tcPr>
            <w:tcW w:type="dxa" w:w="2880"/>
            <w:vMerge/>
          </w:tcPr>
          <w:p/>
        </w:tc>
        <w:tc>
          <w:tcPr>
            <w:tcW w:type="dxa" w:w="2880"/>
          </w:tcPr>
          <w:p>
            <w:r>
              <w:t>1.4采购人可与投标人就优惠价进行谈判，但优惠价不得高于投标人在投标文件的《零配件、消耗品和延续保修合同报价明清单》中承诺的维修零配件、消耗品和延续保修合同的报价。</w:t>
            </w:r>
          </w:p>
        </w:tc>
      </w:tr>
      <w:tr>
        <w:tc>
          <w:tcPr>
            <w:tcW w:type="dxa" w:w="2880"/>
            <w:vMerge/>
          </w:tcPr>
          <w:p/>
        </w:tc>
        <w:tc>
          <w:tcPr>
            <w:tcW w:type="dxa" w:w="2880"/>
            <w:vMerge/>
          </w:tcPr>
          <w:p/>
        </w:tc>
        <w:tc>
          <w:tcPr>
            <w:tcW w:type="dxa" w:w="2880"/>
          </w:tcPr>
          <w:p>
            <w:r>
              <w:t>1.5投标人及设备制造商不得以任何理由不按时进行维修，不得要求采购人购买所谓“保修服务”（即：不论设备有无故障先买保修服务），不得在设备中嵌设任何不利于采购人使用与维修设备的障碍。在规定的设备使用寿命期限内保证相关配件供应。</w:t>
            </w:r>
          </w:p>
        </w:tc>
      </w:tr>
      <w:tr>
        <w:tc>
          <w:tcPr>
            <w:tcW w:type="dxa" w:w="8640"/>
            <w:gridSpan w:val="3"/>
          </w:tcPr>
          <w:p>
            <w:r>
              <w:t>（三）其他商务要求</w:t>
            </w:r>
          </w:p>
        </w:tc>
      </w:tr>
      <w:tr>
        <w:tc>
          <w:tcPr>
            <w:tcW w:type="dxa" w:w="2880"/>
            <w:vMerge w:val="restart"/>
          </w:tcPr>
          <w:p>
            <w:r>
              <w:t>1</w:t>
            </w:r>
          </w:p>
        </w:tc>
        <w:tc>
          <w:tcPr>
            <w:tcW w:type="dxa" w:w="2880"/>
            <w:vMerge w:val="restart"/>
          </w:tcPr>
          <w:p>
            <w:r>
              <w:t>交货条件</w:t>
            </w:r>
          </w:p>
        </w:tc>
        <w:tc>
          <w:tcPr>
            <w:tcW w:type="dxa" w:w="2880"/>
          </w:tcPr>
          <w:p>
            <w:r>
              <w:t>★1.1投标人在签订合同之日起，国产设备60日历日内、进口设备90日历日内交货并安装调试完毕，交付采购人验收。</w:t>
            </w:r>
          </w:p>
        </w:tc>
      </w:tr>
      <w:tr>
        <w:tc>
          <w:tcPr>
            <w:tcW w:type="dxa" w:w="2880"/>
            <w:vMerge/>
          </w:tcPr>
          <w:p/>
        </w:tc>
        <w:tc>
          <w:tcPr>
            <w:tcW w:type="dxa" w:w="2880"/>
            <w:vMerge/>
          </w:tcPr>
          <w:p/>
        </w:tc>
        <w:tc>
          <w:tcPr>
            <w:tcW w:type="dxa" w:w="2880"/>
          </w:tcPr>
          <w:p>
            <w:r>
              <w:t>1.2签订合同后，如涉及机房装修改造，需立即向医院出具机房装修要求的各种资料。</w:t>
            </w:r>
          </w:p>
        </w:tc>
      </w:tr>
      <w:tr>
        <w:tc>
          <w:tcPr>
            <w:tcW w:type="dxa" w:w="2880"/>
            <w:vMerge/>
          </w:tcPr>
          <w:p/>
        </w:tc>
        <w:tc>
          <w:tcPr>
            <w:tcW w:type="dxa" w:w="2880"/>
            <w:vMerge/>
          </w:tcPr>
          <w:p/>
        </w:tc>
        <w:tc>
          <w:tcPr>
            <w:tcW w:type="dxa" w:w="2880"/>
          </w:tcPr>
          <w:p>
            <w:r>
              <w:t>1.3投标人应提供货物的技术文件，包括但不限于设备配置清单、产品说明书、图纸、操作手册、维护手册（含维修密码及接口数据）、质量保证文件、服务指南等，所有外文资料须提供中文译本。文件应随货物一并交付至采购人指定地点。</w:t>
            </w:r>
          </w:p>
        </w:tc>
      </w:tr>
      <w:tr>
        <w:tc>
          <w:tcPr>
            <w:tcW w:type="dxa" w:w="2880"/>
            <w:vMerge/>
          </w:tcPr>
          <w:p/>
        </w:tc>
        <w:tc>
          <w:tcPr>
            <w:tcW w:type="dxa" w:w="2880"/>
            <w:vMerge/>
          </w:tcPr>
          <w:p/>
        </w:tc>
        <w:tc>
          <w:tcPr>
            <w:tcW w:type="dxa" w:w="2880"/>
          </w:tcPr>
          <w:p>
            <w:r>
              <w:t>1.4提供的货物必须为全新、经检验合格的产品。产品如需要计量检定的应提供相关计量检定部门出具的合法检定报告。其中，进口设备必须具有报关证明文件、原产地证明和商检合格证明文件。</w:t>
            </w:r>
          </w:p>
        </w:tc>
      </w:tr>
      <w:tr>
        <w:tc>
          <w:tcPr>
            <w:tcW w:type="dxa" w:w="2880"/>
            <w:vMerge/>
          </w:tcPr>
          <w:p/>
        </w:tc>
        <w:tc>
          <w:tcPr>
            <w:tcW w:type="dxa" w:w="2880"/>
            <w:vMerge/>
          </w:tcPr>
          <w:p/>
        </w:tc>
        <w:tc>
          <w:tcPr>
            <w:tcW w:type="dxa" w:w="2880"/>
          </w:tcPr>
          <w:p>
            <w:r>
              <w:t>1.5如涉及机房装修改造，供应商应提供机房内与安装设备直接相关的器具和部件，包括从配电箱到主机的电缆线，专用导轨吊架和地梁钢结构等设备专用配套配件，采购人仅负责通用要求的放射防护装修。</w:t>
            </w:r>
          </w:p>
        </w:tc>
      </w:tr>
      <w:tr>
        <w:tc>
          <w:tcPr>
            <w:tcW w:type="dxa" w:w="2880"/>
            <w:vMerge/>
          </w:tcPr>
          <w:p/>
        </w:tc>
        <w:tc>
          <w:tcPr>
            <w:tcW w:type="dxa" w:w="2880"/>
            <w:vMerge/>
          </w:tcPr>
          <w:p/>
        </w:tc>
        <w:tc>
          <w:tcPr>
            <w:tcW w:type="dxa" w:w="2880"/>
          </w:tcPr>
          <w:p>
            <w:r/>
          </w:p>
        </w:tc>
      </w:tr>
      <w:tr>
        <w:tc>
          <w:tcPr>
            <w:tcW w:type="dxa" w:w="2880"/>
            <w:vMerge w:val="restart"/>
          </w:tcPr>
          <w:p>
            <w:r>
              <w:t>2</w:t>
            </w:r>
          </w:p>
        </w:tc>
        <w:tc>
          <w:tcPr>
            <w:tcW w:type="dxa" w:w="2880"/>
            <w:vMerge w:val="restart"/>
          </w:tcPr>
          <w:p>
            <w:r>
              <w:t>运输、安装和验收</w:t>
            </w:r>
          </w:p>
        </w:tc>
        <w:tc>
          <w:tcPr>
            <w:tcW w:type="dxa" w:w="2880"/>
          </w:tcPr>
          <w:p>
            <w:r>
              <w:t>2.1投标人负责将货物安全无损运抵采购人指定地点,并承担设备的包装、运输、保险、装卸、安装调试、培训、商检及计量检测、关税、增值税和进口代理等费用。</w:t>
            </w:r>
          </w:p>
        </w:tc>
      </w:tr>
      <w:tr>
        <w:tc>
          <w:tcPr>
            <w:tcW w:type="dxa" w:w="2880"/>
            <w:vMerge/>
          </w:tcPr>
          <w:p/>
        </w:tc>
        <w:tc>
          <w:tcPr>
            <w:tcW w:type="dxa" w:w="2880"/>
            <w:vMerge/>
          </w:tcPr>
          <w:p/>
        </w:tc>
        <w:tc>
          <w:tcPr>
            <w:tcW w:type="dxa" w:w="2880"/>
          </w:tcPr>
          <w:p>
            <w:r>
              <w:t>2.2采购人有权检验或测试货物，以确认货物是否符合合同规格的要求，并且不承担额外的费用。如果发现所交货物与投标文件中所承诺的不符或存在质量、技术缺陷等,采购人可以拒绝接收该货物,投标人应在 7 天内采取补足、更换或退货等措施,以满足规格的要求，由此发生的一切损失和费用由投标人承担。</w:t>
            </w:r>
          </w:p>
        </w:tc>
      </w:tr>
      <w:tr>
        <w:tc>
          <w:tcPr>
            <w:tcW w:type="dxa" w:w="2880"/>
            <w:vMerge/>
          </w:tcPr>
          <w:p/>
        </w:tc>
        <w:tc>
          <w:tcPr>
            <w:tcW w:type="dxa" w:w="2880"/>
            <w:vMerge/>
          </w:tcPr>
          <w:p/>
        </w:tc>
        <w:tc>
          <w:tcPr>
            <w:tcW w:type="dxa" w:w="2880"/>
          </w:tcPr>
          <w:p>
            <w:r>
              <w:t>2.3投标人与院方设备验收人员共同确认安装条件符合相关技术要求后方可发出货物，投标人负责货物的现场安装和调试,提供货物安装、调试和维修所需的专用工具和辅助材料。投标人应在货物运至指定地点后一周内开始安装调试,并在 5 天内安装调试完毕。</w:t>
            </w:r>
          </w:p>
        </w:tc>
      </w:tr>
      <w:tr>
        <w:tc>
          <w:tcPr>
            <w:tcW w:type="dxa" w:w="2880"/>
            <w:vMerge/>
          </w:tcPr>
          <w:p/>
        </w:tc>
        <w:tc>
          <w:tcPr>
            <w:tcW w:type="dxa" w:w="2880"/>
            <w:vMerge/>
          </w:tcPr>
          <w:p/>
        </w:tc>
        <w:tc>
          <w:tcPr>
            <w:tcW w:type="dxa" w:w="2880"/>
          </w:tcPr>
          <w:p>
            <w:r>
              <w:t>2.4由投标人代表和采购人组成验收小组对产品进行验收。验收标准按照国家规定标准执行。经检验设备正常运作后签署验收报告,产品保修期自验收合格之日起算。</w:t>
            </w:r>
          </w:p>
        </w:tc>
      </w:tr>
      <w:tr>
        <w:tc>
          <w:tcPr>
            <w:tcW w:type="dxa" w:w="2880"/>
            <w:vMerge/>
          </w:tcPr>
          <w:p/>
        </w:tc>
        <w:tc>
          <w:tcPr>
            <w:tcW w:type="dxa" w:w="2880"/>
            <w:vMerge/>
          </w:tcPr>
          <w:p/>
        </w:tc>
        <w:tc>
          <w:tcPr>
            <w:tcW w:type="dxa" w:w="2880"/>
          </w:tcPr>
          <w:p>
            <w:r>
              <w:t>2.5设备安装过程中不得损坏安装场地内已有设备、器具和装修等物品，如有损坏，投标人应无条件恢复原状, 针对无法修复的投标人应当赔偿采购人的损失。</w:t>
            </w:r>
          </w:p>
        </w:tc>
      </w:tr>
      <w:tr>
        <w:tc>
          <w:tcPr>
            <w:tcW w:type="dxa" w:w="2880"/>
            <w:vMerge/>
          </w:tcPr>
          <w:p/>
        </w:tc>
        <w:tc>
          <w:tcPr>
            <w:tcW w:type="dxa" w:w="2880"/>
            <w:vMerge/>
          </w:tcPr>
          <w:p/>
        </w:tc>
        <w:tc>
          <w:tcPr>
            <w:tcW w:type="dxa" w:w="2880"/>
          </w:tcPr>
          <w:p>
            <w:r>
              <w:t>2.6如安装过程需要吊装、搬运工人超过 3 人等情况，需提前一周向医院设备科、总务科申报，办理入场手续，所有院外工作人员在院区内工作，需接受医院监管，佩戴医院发放的工牌，禁止吸烟及一切危害公共安全的行为，对有可能造成消防报警的，需提前申报。</w:t>
            </w:r>
          </w:p>
        </w:tc>
      </w:tr>
      <w:tr>
        <w:tc>
          <w:tcPr>
            <w:tcW w:type="dxa" w:w="2880"/>
            <w:vMerge/>
          </w:tcPr>
          <w:p/>
        </w:tc>
        <w:tc>
          <w:tcPr>
            <w:tcW w:type="dxa" w:w="2880"/>
            <w:vMerge/>
          </w:tcPr>
          <w:p/>
        </w:tc>
        <w:tc>
          <w:tcPr>
            <w:tcW w:type="dxa" w:w="2880"/>
          </w:tcPr>
          <w:p>
            <w:r>
              <w:t>2.7医疗设备的包装箱使用后由中标（成交）供应商负责处理。</w:t>
            </w:r>
          </w:p>
        </w:tc>
      </w:tr>
      <w:tr>
        <w:tc>
          <w:tcPr>
            <w:tcW w:type="dxa" w:w="2880"/>
            <w:vMerge/>
          </w:tcPr>
          <w:p/>
        </w:tc>
        <w:tc>
          <w:tcPr>
            <w:tcW w:type="dxa" w:w="2880"/>
            <w:vMerge/>
          </w:tcPr>
          <w:p/>
        </w:tc>
        <w:tc>
          <w:tcPr>
            <w:tcW w:type="dxa" w:w="2880"/>
          </w:tcPr>
          <w:p>
            <w:r>
              <w:t>2.8废气排放、排污等接口无条件改造为医院已有标准和制式。</w:t>
            </w:r>
          </w:p>
        </w:tc>
      </w:tr>
      <w:tr>
        <w:tc>
          <w:tcPr>
            <w:tcW w:type="dxa" w:w="2880"/>
          </w:tcPr>
          <w:p/>
        </w:tc>
        <w:tc>
          <w:tcPr>
            <w:tcW w:type="dxa" w:w="2880"/>
          </w:tcPr>
          <w:p/>
        </w:tc>
        <w:tc>
          <w:tcPr>
            <w:tcW w:type="dxa" w:w="2880"/>
          </w:tcPr>
          <w:p/>
        </w:tc>
      </w:tr>
      <w:tr>
        <w:tc>
          <w:tcPr>
            <w:tcW w:type="dxa" w:w="2880"/>
          </w:tcPr>
          <w:p>
            <w:r>
              <w:t>3</w:t>
            </w:r>
          </w:p>
        </w:tc>
        <w:tc>
          <w:tcPr>
            <w:tcW w:type="dxa" w:w="2880"/>
          </w:tcPr>
          <w:p>
            <w:r>
              <w:t>培训</w:t>
            </w:r>
          </w:p>
        </w:tc>
        <w:tc>
          <w:tcPr>
            <w:tcW w:type="dxa" w:w="2880"/>
          </w:tcPr>
          <w:p>
            <w:r>
              <w:t>3.1中标人应派专业技术人员免费对采购单位指定人员进行定期培训及指导，直至其完全掌握设备的基本故障处理技术。中标人责成厂家提供标准化操作流程、日常保养流程、质控流程、PPT版本操作教程及操作视频、电子说明书等</w:t>
            </w:r>
          </w:p>
        </w:tc>
      </w:tr>
      <w:tr>
        <w:tc>
          <w:tcPr>
            <w:tcW w:type="dxa" w:w="2880"/>
            <w:vMerge w:val="restart"/>
          </w:tcPr>
          <w:p>
            <w:r>
              <w:t>4</w:t>
            </w:r>
          </w:p>
        </w:tc>
        <w:tc>
          <w:tcPr>
            <w:tcW w:type="dxa" w:w="2880"/>
            <w:vMerge w:val="restart"/>
          </w:tcPr>
          <w:p>
            <w:r>
              <w:t>知识产权</w:t>
            </w:r>
          </w:p>
        </w:tc>
        <w:tc>
          <w:tcPr>
            <w:tcW w:type="dxa" w:w="2880"/>
          </w:tcPr>
          <w:p>
            <w:r>
              <w:t>4.1投标人应保证采购人在使用该货物或其任何一部分时，免受第三方提出的侵犯其专利权、商标权、著作权或其它知识产权的起诉。投标人保证所提供软件的合法性，所发生的任何知识产权纠纷与采购人无关。</w:t>
            </w:r>
          </w:p>
        </w:tc>
      </w:tr>
      <w:tr>
        <w:tc>
          <w:tcPr>
            <w:tcW w:type="dxa" w:w="2880"/>
            <w:vMerge/>
          </w:tcPr>
          <w:p/>
        </w:tc>
        <w:tc>
          <w:tcPr>
            <w:tcW w:type="dxa" w:w="2880"/>
            <w:vMerge/>
          </w:tcPr>
          <w:p/>
        </w:tc>
        <w:tc>
          <w:tcPr>
            <w:tcW w:type="dxa" w:w="2880"/>
          </w:tcPr>
          <w:p>
            <w:r>
              <w:t>4.2采购人购买产品后，有权对该产品与其他设备进行配套、整合或适当改进，而免受侵犯专利权的起诉。</w:t>
            </w:r>
          </w:p>
        </w:tc>
      </w:tr>
      <w:tr>
        <w:tc>
          <w:tcPr>
            <w:tcW w:type="dxa" w:w="2880"/>
          </w:tcPr>
          <w:p>
            <w:r>
              <w:t>5</w:t>
            </w:r>
          </w:p>
        </w:tc>
        <w:tc>
          <w:tcPr>
            <w:tcW w:type="dxa" w:w="2880"/>
          </w:tcPr>
          <w:p>
            <w:r>
              <w:t>付款方式</w:t>
            </w:r>
          </w:p>
        </w:tc>
        <w:tc>
          <w:tcPr>
            <w:tcW w:type="dxa" w:w="2880"/>
          </w:tcPr>
          <w:p>
            <w:r>
              <w:t>5.1产品安装、调试完毕并经过甲方验收合格后5日内，乙方需支付合同总金额的5%作为质保金到甲方指定账户；货到指定地点、验收合格并提供全额发票办理入库之日起三个月内，甲方向乙方支付全款；免费保修期满后，经采购人确认产品质量无问题及售后服务达标后，甲方无息返还乙方质保金。</w:t>
            </w:r>
          </w:p>
        </w:tc>
      </w:tr>
      <w:tr>
        <w:tc>
          <w:tcPr>
            <w:tcW w:type="dxa" w:w="2880"/>
            <w:vMerge w:val="restart"/>
          </w:tcPr>
          <w:p>
            <w:r>
              <w:t>6</w:t>
            </w:r>
          </w:p>
        </w:tc>
        <w:tc>
          <w:tcPr>
            <w:tcW w:type="dxa" w:w="2880"/>
            <w:vMerge w:val="restart"/>
          </w:tcPr>
          <w:p>
            <w:r>
              <w:t>违约责任</w:t>
            </w:r>
          </w:p>
        </w:tc>
        <w:tc>
          <w:tcPr>
            <w:tcW w:type="dxa" w:w="2880"/>
          </w:tcPr>
          <w:p>
            <w:r>
              <w:t>6.1中标人不能交货的，需偿付不能交货部分货款的  10% 的违约金并按主管部门相关规定处理。</w:t>
            </w:r>
          </w:p>
        </w:tc>
      </w:tr>
      <w:tr>
        <w:tc>
          <w:tcPr>
            <w:tcW w:type="dxa" w:w="2880"/>
            <w:vMerge/>
          </w:tcPr>
          <w:p/>
        </w:tc>
        <w:tc>
          <w:tcPr>
            <w:tcW w:type="dxa" w:w="2880"/>
            <w:vMerge/>
          </w:tcPr>
          <w:p/>
        </w:tc>
        <w:tc>
          <w:tcPr>
            <w:tcW w:type="dxa" w:w="2880"/>
          </w:tcPr>
          <w:p>
            <w:r>
              <w:t>6.2中标人逾期交货的，将被没收履约保证金并按主管部门相关规定处理。</w:t>
            </w:r>
          </w:p>
        </w:tc>
      </w:tr>
      <w:tr>
        <w:tc>
          <w:tcPr>
            <w:tcW w:type="dxa" w:w="2880"/>
            <w:vMerge/>
          </w:tcPr>
          <w:p/>
        </w:tc>
        <w:tc>
          <w:tcPr>
            <w:tcW w:type="dxa" w:w="2880"/>
            <w:vMerge/>
          </w:tcPr>
          <w:p/>
        </w:tc>
        <w:tc>
          <w:tcPr>
            <w:tcW w:type="dxa" w:w="2880"/>
          </w:tcPr>
          <w:p>
            <w:r>
              <w:t>6.3中标人所交付产品、工程或服务不符合其投标承诺的，或在投标阶段为了中标而盲目虚假承诺、低价恶性竞争，在履约阶段则通过偷工减料、以次充好而获取利润的，将被没收履约保证金，并被深圳市政府采购中心评为履约等级“差”并按主管部门相关规定处理。</w:t>
            </w:r>
          </w:p>
        </w:tc>
      </w:tr>
      <w:tr>
        <w:tc>
          <w:tcPr>
            <w:tcW w:type="dxa" w:w="2880"/>
            <w:vMerge/>
          </w:tcPr>
          <w:p/>
        </w:tc>
        <w:tc>
          <w:tcPr>
            <w:tcW w:type="dxa" w:w="2880"/>
            <w:vMerge/>
          </w:tcPr>
          <w:p/>
        </w:tc>
        <w:tc>
          <w:tcPr>
            <w:tcW w:type="dxa" w:w="2880"/>
          </w:tcPr>
          <w:p>
            <w:r/>
          </w:p>
        </w:tc>
      </w:tr>
      <w:tr>
        <w:tc>
          <w:tcPr>
            <w:tcW w:type="dxa" w:w="2880"/>
            <w:vMerge/>
          </w:tcPr>
          <w:p/>
        </w:tc>
        <w:tc>
          <w:tcPr>
            <w:tcW w:type="dxa" w:w="2880"/>
            <w:vMerge/>
          </w:tcPr>
          <w:p/>
        </w:tc>
        <w:tc>
          <w:tcPr>
            <w:tcW w:type="dxa" w:w="2880"/>
          </w:tcPr>
          <w:p>
            <w:r/>
          </w:p>
        </w:tc>
      </w:tr>
      <w:tr>
        <w:tc>
          <w:tcPr>
            <w:tcW w:type="dxa" w:w="2880"/>
          </w:tcPr>
          <w:p>
            <w:r>
              <w:t>7</w:t>
            </w:r>
          </w:p>
        </w:tc>
        <w:tc>
          <w:tcPr>
            <w:tcW w:type="dxa" w:w="2880"/>
          </w:tcPr>
          <w:p>
            <w:r>
              <w:t>数据接口要求</w:t>
            </w:r>
          </w:p>
        </w:tc>
        <w:tc>
          <w:tcPr>
            <w:tcW w:type="dxa" w:w="2880"/>
          </w:tcPr>
          <w:p>
            <w:r>
              <w:t>7.1中标（成交）供应商应无偿配合医院信息科将设备连接到信息系统中，连接信息系统过程中如需产生费用则由其承担。中标（成交）供应商不能向医院信息系统如HIS、PACS、LIS等提出另行支付接口费等费用。</w:t>
            </w:r>
          </w:p>
        </w:tc>
      </w:tr>
      <w:tr>
        <w:tc>
          <w:tcPr>
            <w:tcW w:type="dxa" w:w="2880"/>
          </w:tcPr>
          <w:p>
            <w:r>
              <w:t>8</w:t>
            </w:r>
          </w:p>
        </w:tc>
        <w:tc>
          <w:tcPr>
            <w:tcW w:type="dxa" w:w="2880"/>
          </w:tcPr>
          <w:p>
            <w:r>
              <w:t>其他</w:t>
            </w:r>
          </w:p>
        </w:tc>
        <w:tc>
          <w:tcPr>
            <w:tcW w:type="dxa" w:w="2880"/>
          </w:tcPr>
          <w:p>
            <w:r>
              <w:t>8.1投标人应按其投标文件中的承诺，进行其他售后服务工作。</w:t>
            </w:r>
          </w:p>
        </w:tc>
      </w:tr>
    </w:tbl>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vMerge w:val="restart"/>
          </w:tcPr>
          <w:p>
            <w:r>
              <w:t>9</w:t>
            </w:r>
          </w:p>
        </w:tc>
        <w:tc>
          <w:tcPr>
            <w:tcW w:type="dxa" w:w="1440"/>
          </w:tcPr>
          <w:p>
            <w:r>
              <w:t>配件名称</w:t>
            </w:r>
          </w:p>
        </w:tc>
        <w:tc>
          <w:tcPr>
            <w:tcW w:type="dxa" w:w="1440"/>
          </w:tcPr>
          <w:p>
            <w:r>
              <w:t>单位</w:t>
            </w:r>
          </w:p>
        </w:tc>
        <w:tc>
          <w:tcPr>
            <w:tcW w:type="dxa" w:w="1440"/>
          </w:tcPr>
          <w:p>
            <w:r>
              <w:t>单价</w:t>
            </w:r>
          </w:p>
        </w:tc>
        <w:tc>
          <w:tcPr>
            <w:tcW w:type="dxa" w:w="1440"/>
          </w:tcPr>
          <w:p>
            <w:r>
              <w:t>生产厂商</w:t>
            </w:r>
          </w:p>
        </w:tc>
        <w:tc>
          <w:tcPr>
            <w:tcW w:type="dxa" w:w="1440"/>
          </w:tcPr>
          <w:p>
            <w:r>
              <w:t>备注</w:t>
            </w:r>
          </w:p>
        </w:tc>
      </w:tr>
      <w:tr>
        <w:tc>
          <w:tcPr>
            <w:tcW w:type="dxa" w:w="1440"/>
            <w:vMerge/>
          </w:tcPr>
          <w:p/>
        </w:tc>
        <w:tc>
          <w:tcPr>
            <w:tcW w:type="dxa" w:w="1440"/>
          </w:tcPr>
          <w:p/>
        </w:tc>
        <w:tc>
          <w:tcPr>
            <w:tcW w:type="dxa" w:w="1440"/>
          </w:tcPr>
          <w:p/>
        </w:tc>
        <w:tc>
          <w:tcPr>
            <w:tcW w:type="dxa" w:w="1440"/>
          </w:tcPr>
          <w:p/>
        </w:tc>
        <w:tc>
          <w:tcPr>
            <w:tcW w:type="dxa" w:w="1440"/>
          </w:tcPr>
          <w:p/>
        </w:tc>
        <w:tc>
          <w:tcPr>
            <w:tcW w:type="dxa" w:w="1440"/>
          </w:tcP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