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1、染色方式：采用注液离心浸染方式，染色效果媲美手工法。</w:t>
              <w:br/>
              <w:br/>
              <w:t>2、*染色模式：适用于WHO推荐巴氏染色法和WHO推荐Diff-Quik染色法，双通道染液管路，只需切换染色程序无需更换染液即可满足不同的染色需求。</w:t>
              <w:br/>
              <w:br/>
              <w:t>3、*操作界面：7英寸大触摸屏简单易操作，中文操作界面简洁明了，染色进度条实时显示。</w:t>
              <w:br/>
              <w:br/>
              <w:t>4、*染色舱：玻片架可放置1~16张标本，分为上下两层，便于取放标本，采用特殊镀层，确保了玻片架不被染液侵蚀，保证仪器长时间运作，易于清洗。</w:t>
              <w:br/>
              <w:br/>
              <w:t>5、可以对接市面上大部分全自动精子分析仪。</w:t>
              <w:br/>
              <w:br/>
              <w:t>6、参数调节：染液的注液时间和染色时间可调，确保不同类型的标本染色效果均最佳。</w:t>
              <w:br/>
              <w:br/>
              <w:t>7、染液用量:每片仅用1-2mL染液，有效节约染色用量，产生更少的废液。</w:t>
              <w:br/>
              <w:br/>
              <w:t>8、染色速度：Diff-Quik染色精子涂片160张/小时，巴氏染色精子涂片48张/小时。</w:t>
              <w:br/>
              <w:br/>
              <w:t>9、*日常维护：染色机带有自动清洗功能，可根据用户选择自动清洗染色托盘，无需人工清洗，搭配专用清洗液，具有清洗和杀菌作用，客户可根据个人需要选择开启或者关闭。</w:t>
              <w:br/>
              <w:br/>
              <w:t>10、标本固定：精子巴氏染色有固定功能，客户可自由选择手工固定或仪器自动固定，染色功能更智能化和自动化。</w:t>
              <w:br/>
              <w:br/>
              <w:t>11、安全性能：只有盖子闭合时才能进行操作，仪器运行时自动开启电子锁，低速离心：0-400rpm，保证操作人员的安全。</w:t>
              <w:br/>
              <w:br/>
              <w:t>12、*报警系统：液量报警系统：试剂余量不足时，自动报警提示；废液桶废液较满时，自动报警提示。故障报警系统：根据故障报警提示使用单位及时与代理商或厂家联系，更快捷地解决问题，方便客户的后续使用。</w:t>
              <w:br/>
              <w:br/>
              <w:t>13、水平仪：用于调整设备安装的水平位置，垂直位置。</w:t>
              <w:br/>
              <w:br/>
              <w:t>14、电源要求：220±22V，50Hz±1Hz</w:t>
              <w:br/>
              <w:br/>
              <w:t>15、产品尺寸：51cm×43cm×32cm（长×宽×高）</w:t>
              <w:br/>
              <w:br/>
              <w:t>16、产品重量：净重约16Kg</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全自动精子染色仪</w:t>
            </w:r>
          </w:p>
        </w:tc>
        <w:tc>
          <w:tcPr>
            <w:tcW w:type="dxa" w:w="2160"/>
          </w:tcPr>
          <w:p>
            <w:r>
              <w:t>台</w:t>
            </w:r>
          </w:p>
        </w:tc>
        <w:tc>
          <w:tcPr>
            <w:tcW w:type="dxa" w:w="2160"/>
          </w:tcPr>
          <w:p>
            <w:r>
              <w:t>1</w:t>
            </w:r>
          </w:p>
        </w:tc>
      </w:tr>
      <w:tr>
        <w:tc>
          <w:tcPr>
            <w:tcW w:type="dxa" w:w="2160"/>
          </w:tcPr>
          <w:p>
            <w:r>
              <w:t>2</w:t>
            </w:r>
          </w:p>
        </w:tc>
        <w:tc>
          <w:tcPr>
            <w:tcW w:type="dxa" w:w="2160"/>
          </w:tcPr>
          <w:p>
            <w:r>
              <w:t>电源线</w:t>
            </w:r>
          </w:p>
        </w:tc>
        <w:tc>
          <w:tcPr>
            <w:tcW w:type="dxa" w:w="2160"/>
          </w:tcPr>
          <w:p>
            <w:r>
              <w:t>条</w:t>
            </w:r>
          </w:p>
        </w:tc>
        <w:tc>
          <w:tcPr>
            <w:tcW w:type="dxa" w:w="2160"/>
          </w:tcPr>
          <w:p>
            <w:r>
              <w:t>1</w:t>
            </w:r>
          </w:p>
        </w:tc>
      </w:tr>
      <w:tr>
        <w:tc>
          <w:tcPr>
            <w:tcW w:type="dxa" w:w="2160"/>
          </w:tcPr>
          <w:p>
            <w:r>
              <w:t>3</w:t>
            </w:r>
          </w:p>
        </w:tc>
        <w:tc>
          <w:tcPr>
            <w:tcW w:type="dxa" w:w="2160"/>
          </w:tcPr>
          <w:p>
            <w:r>
              <w:t>废液管</w:t>
            </w:r>
          </w:p>
        </w:tc>
        <w:tc>
          <w:tcPr>
            <w:tcW w:type="dxa" w:w="2160"/>
          </w:tcPr>
          <w:p>
            <w:r>
              <w:t>根</w:t>
            </w:r>
          </w:p>
        </w:tc>
        <w:tc>
          <w:tcPr>
            <w:tcW w:type="dxa" w:w="2160"/>
          </w:tcPr>
          <w:p>
            <w:r>
              <w:t>1</w:t>
            </w:r>
          </w:p>
        </w:tc>
      </w:tr>
      <w:tr>
        <w:tc>
          <w:tcPr>
            <w:tcW w:type="dxa" w:w="2160"/>
          </w:tcPr>
          <w:p>
            <w:r>
              <w:t>4</w:t>
            </w:r>
          </w:p>
        </w:tc>
        <w:tc>
          <w:tcPr>
            <w:tcW w:type="dxa" w:w="2160"/>
          </w:tcPr>
          <w:p>
            <w:r>
              <w:t>废液桶（20L）</w:t>
            </w:r>
          </w:p>
        </w:tc>
        <w:tc>
          <w:tcPr>
            <w:tcW w:type="dxa" w:w="2160"/>
          </w:tcPr>
          <w:p>
            <w:r>
              <w:t>个</w:t>
            </w:r>
          </w:p>
        </w:tc>
        <w:tc>
          <w:tcPr>
            <w:tcW w:type="dxa" w:w="2160"/>
          </w:tcPr>
          <w:p>
            <w:r>
              <w:t>1</w:t>
            </w:r>
          </w:p>
        </w:tc>
      </w:tr>
      <w:tr>
        <w:tc>
          <w:tcPr>
            <w:tcW w:type="dxa" w:w="2160"/>
          </w:tcPr>
          <w:p>
            <w:r>
              <w:t>5</w:t>
            </w:r>
          </w:p>
        </w:tc>
        <w:tc>
          <w:tcPr>
            <w:tcW w:type="dxa" w:w="2160"/>
          </w:tcPr>
          <w:p>
            <w:r>
              <w:t>清水瓶（5L）</w:t>
            </w:r>
          </w:p>
        </w:tc>
        <w:tc>
          <w:tcPr>
            <w:tcW w:type="dxa" w:w="2160"/>
          </w:tcPr>
          <w:p>
            <w:r>
              <w:t>个</w:t>
            </w:r>
          </w:p>
        </w:tc>
        <w:tc>
          <w:tcPr>
            <w:tcW w:type="dxa" w:w="2160"/>
          </w:tcPr>
          <w:p>
            <w:r>
              <w:t>1</w:t>
            </w:r>
          </w:p>
        </w:tc>
      </w:tr>
      <w:tr>
        <w:tc>
          <w:tcPr>
            <w:tcW w:type="dxa" w:w="2160"/>
          </w:tcPr>
          <w:p>
            <w:r>
              <w:t>6</w:t>
            </w:r>
          </w:p>
        </w:tc>
        <w:tc>
          <w:tcPr>
            <w:tcW w:type="dxa" w:w="2160"/>
          </w:tcPr>
          <w:p>
            <w:r>
              <w:t>试剂瓶座</w:t>
            </w:r>
          </w:p>
        </w:tc>
        <w:tc>
          <w:tcPr>
            <w:tcW w:type="dxa" w:w="2160"/>
          </w:tcPr>
          <w:p>
            <w:r>
              <w:t>个</w:t>
            </w:r>
          </w:p>
        </w:tc>
        <w:tc>
          <w:tcPr>
            <w:tcW w:type="dxa" w:w="2160"/>
          </w:tcPr>
          <w:p>
            <w:r>
              <w:t>2</w:t>
            </w:r>
          </w:p>
        </w:tc>
      </w:tr>
      <w:tr>
        <w:tc>
          <w:tcPr>
            <w:tcW w:type="dxa" w:w="2160"/>
          </w:tcPr>
          <w:p>
            <w:r>
              <w:t>7</w:t>
            </w:r>
          </w:p>
        </w:tc>
        <w:tc>
          <w:tcPr>
            <w:tcW w:type="dxa" w:w="2160"/>
          </w:tcPr>
          <w:p>
            <w:r>
              <w:t>试剂瓶盖及连接管</w:t>
            </w:r>
          </w:p>
        </w:tc>
        <w:tc>
          <w:tcPr>
            <w:tcW w:type="dxa" w:w="2160"/>
          </w:tcPr>
          <w:p>
            <w:r>
              <w:t>个</w:t>
            </w:r>
          </w:p>
        </w:tc>
        <w:tc>
          <w:tcPr>
            <w:tcW w:type="dxa" w:w="2160"/>
          </w:tcPr>
          <w:p>
            <w:r>
              <w:t>9</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