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一、具体技术要求</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7"/>
        <w:gridCol w:w="2743"/>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tcPr>
          <w:p>
            <w:pPr>
              <w:spacing w:after="0" w:line="240" w:lineRule="auto"/>
            </w:pPr>
            <w:r>
              <w:t>货物名称</w:t>
            </w:r>
          </w:p>
        </w:tc>
        <w:tc>
          <w:tcPr>
            <w:tcW w:w="7063" w:type="dxa"/>
            <w:gridSpan w:val="3"/>
          </w:tcPr>
          <w:p>
            <w:pPr>
              <w:spacing w:after="0" w:line="240" w:lineRule="auto"/>
            </w:pPr>
            <w: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tcPr>
          <w:p>
            <w:pPr>
              <w:spacing w:after="0" w:line="240" w:lineRule="auto"/>
            </w:pPr>
            <w:r>
              <w:t>总体要求</w:t>
            </w:r>
          </w:p>
        </w:tc>
        <w:tc>
          <w:tcPr>
            <w:tcW w:w="7063" w:type="dxa"/>
            <w:gridSpan w:val="3"/>
          </w:tcPr>
          <w:p>
            <w:pPr>
              <w:spacing w:line="340" w:lineRule="exact"/>
              <w:rPr>
                <w:rFonts w:ascii="宋体" w:hAnsi="宋体"/>
                <w:bCs/>
                <w:sz w:val="28"/>
                <w:szCs w:val="28"/>
              </w:rPr>
            </w:pPr>
            <w:r>
              <w:rPr>
                <w:rFonts w:hint="eastAsia" w:ascii="宋体" w:hAnsi="宋体"/>
                <w:bCs/>
                <w:sz w:val="28"/>
                <w:szCs w:val="28"/>
              </w:rPr>
              <w:t>1、微机控制，电动电机，一键式操作制备CGF（血纤维蛋白），可将骨再生所需要的各种生长因子高度浓缩在CGF中。</w:t>
            </w:r>
          </w:p>
          <w:p>
            <w:pPr>
              <w:spacing w:line="276" w:lineRule="auto"/>
              <w:rPr>
                <w:rFonts w:ascii="宋体" w:hAnsi="宋体"/>
                <w:bCs/>
                <w:sz w:val="28"/>
                <w:szCs w:val="28"/>
              </w:rPr>
            </w:pPr>
            <w:r>
              <w:rPr>
                <w:rFonts w:hint="eastAsia" w:ascii="宋体" w:hAnsi="宋体"/>
                <w:bCs/>
                <w:sz w:val="28"/>
                <w:szCs w:val="28"/>
              </w:rPr>
              <w:t>2、自动门盖设计，设备运行完成后自动打开舱门。</w:t>
            </w:r>
          </w:p>
          <w:p>
            <w:pPr>
              <w:spacing w:line="276" w:lineRule="auto"/>
              <w:rPr>
                <w:rFonts w:ascii="宋体" w:hAnsi="宋体"/>
                <w:bCs/>
                <w:sz w:val="28"/>
                <w:szCs w:val="28"/>
              </w:rPr>
            </w:pPr>
            <w:r>
              <w:rPr>
                <w:rFonts w:hint="eastAsia" w:ascii="宋体" w:hAnsi="宋体"/>
                <w:bCs/>
                <w:sz w:val="28"/>
                <w:szCs w:val="28"/>
              </w:rPr>
              <w:t>3、液晶显示，一键切换PRP,APRF, IPRF,CGF四种程序。</w:t>
            </w:r>
          </w:p>
          <w:p>
            <w:pPr>
              <w:spacing w:line="276" w:lineRule="auto"/>
              <w:rPr>
                <w:rFonts w:ascii="宋体" w:hAnsi="宋体"/>
                <w:bCs/>
                <w:sz w:val="28"/>
                <w:szCs w:val="28"/>
              </w:rPr>
            </w:pPr>
            <w:r>
              <w:rPr>
                <w:rFonts w:hint="eastAsia" w:ascii="宋体" w:hAnsi="宋体"/>
                <w:bCs/>
                <w:sz w:val="28"/>
                <w:szCs w:val="28"/>
              </w:rPr>
              <w:t>4、机壳采用ABS注塑一次成型，简洁紧凑、体积轻巧，噪音低。</w:t>
            </w:r>
          </w:p>
          <w:p>
            <w:pPr>
              <w:spacing w:line="276" w:lineRule="auto"/>
              <w:rPr>
                <w:rFonts w:ascii="宋体" w:hAnsi="宋体"/>
                <w:bCs/>
                <w:sz w:val="28"/>
                <w:szCs w:val="28"/>
              </w:rPr>
            </w:pPr>
            <w:r>
              <w:rPr>
                <w:rFonts w:hint="eastAsia" w:ascii="宋体" w:hAnsi="宋体"/>
                <w:bCs/>
                <w:sz w:val="28"/>
                <w:szCs w:val="28"/>
              </w:rPr>
              <w:t>5、配有电子门锁，设有门盖、超速保护，具有故障自动报警功能，安全可靠。</w:t>
            </w:r>
          </w:p>
          <w:p>
            <w:pPr>
              <w:spacing w:line="276" w:lineRule="auto"/>
              <w:rPr>
                <w:rFonts w:ascii="Arial" w:hAnsi="Arial" w:cs="Arial"/>
                <w:sz w:val="28"/>
                <w:szCs w:val="28"/>
              </w:rPr>
            </w:pPr>
            <w:r>
              <w:rPr>
                <w:rFonts w:hint="eastAsia" w:ascii="宋体" w:hAnsi="宋体"/>
                <w:bCs/>
                <w:sz w:val="28"/>
                <w:szCs w:val="28"/>
              </w:rPr>
              <w:t>6、特殊风道设计，更好的控制离心腔内部温度。</w:t>
            </w:r>
          </w:p>
          <w:p>
            <w:pPr>
              <w:spacing w:line="276" w:lineRule="auto"/>
              <w:rPr>
                <w:rFonts w:ascii="宋体" w:hAnsi="宋体"/>
                <w:bCs/>
                <w:sz w:val="28"/>
                <w:szCs w:val="28"/>
              </w:rPr>
            </w:pPr>
            <w:r>
              <w:rPr>
                <w:rFonts w:hint="eastAsia" w:ascii="宋体" w:hAnsi="宋体"/>
                <w:bCs/>
                <w:sz w:val="28"/>
                <w:szCs w:val="28"/>
              </w:rPr>
              <w:t>7、最高转速</w:t>
            </w:r>
            <w:r>
              <w:rPr>
                <w:rFonts w:hint="eastAsia" w:ascii="宋体" w:hAnsi="宋体"/>
                <w:bCs/>
                <w:sz w:val="28"/>
                <w:szCs w:val="28"/>
              </w:rPr>
              <w:tab/>
            </w:r>
            <w:r>
              <w:rPr>
                <w:rFonts w:hint="eastAsia" w:ascii="宋体" w:hAnsi="宋体"/>
                <w:bCs/>
                <w:sz w:val="28"/>
                <w:szCs w:val="28"/>
              </w:rPr>
              <w:t>500~4000r/min，最大相对离心力</w:t>
            </w:r>
            <w:r>
              <w:rPr>
                <w:rFonts w:hint="eastAsia" w:ascii="宋体" w:hAnsi="宋体"/>
                <w:bCs/>
                <w:sz w:val="28"/>
                <w:szCs w:val="28"/>
              </w:rPr>
              <w:tab/>
            </w:r>
            <w:r>
              <w:rPr>
                <w:rFonts w:hint="eastAsia" w:ascii="宋体" w:hAnsi="宋体"/>
                <w:bCs/>
                <w:sz w:val="28"/>
                <w:szCs w:val="28"/>
              </w:rPr>
              <w:t>2200×g</w:t>
            </w:r>
          </w:p>
          <w:p>
            <w:pPr>
              <w:spacing w:line="276" w:lineRule="auto"/>
              <w:rPr>
                <w:rFonts w:ascii="宋体" w:hAnsi="宋体"/>
                <w:bCs/>
                <w:sz w:val="28"/>
                <w:szCs w:val="28"/>
              </w:rPr>
            </w:pPr>
            <w:r>
              <w:rPr>
                <w:rFonts w:hint="eastAsia" w:ascii="宋体" w:hAnsi="宋体"/>
                <w:bCs/>
                <w:sz w:val="28"/>
                <w:szCs w:val="28"/>
              </w:rPr>
              <w:t>8、最大容量</w:t>
            </w:r>
            <w:r>
              <w:rPr>
                <w:rFonts w:hint="eastAsia" w:ascii="宋体" w:hAnsi="宋体"/>
                <w:bCs/>
                <w:sz w:val="28"/>
                <w:szCs w:val="28"/>
              </w:rPr>
              <w:tab/>
            </w:r>
            <w:r>
              <w:rPr>
                <w:rFonts w:hint="eastAsia" w:ascii="宋体" w:hAnsi="宋体"/>
                <w:bCs/>
                <w:sz w:val="28"/>
                <w:szCs w:val="28"/>
              </w:rPr>
              <w:t>12×10ml，转速精度</w:t>
            </w:r>
            <w:r>
              <w:rPr>
                <w:rFonts w:hint="eastAsia" w:ascii="宋体" w:hAnsi="宋体"/>
                <w:bCs/>
                <w:sz w:val="28"/>
                <w:szCs w:val="28"/>
              </w:rPr>
              <w:tab/>
            </w:r>
            <w:r>
              <w:rPr>
                <w:rFonts w:hint="eastAsia" w:ascii="宋体" w:hAnsi="宋体"/>
                <w:bCs/>
                <w:sz w:val="28"/>
                <w:szCs w:val="28"/>
              </w:rPr>
              <w:t>±30r/min</w:t>
            </w:r>
          </w:p>
          <w:p>
            <w:pPr>
              <w:spacing w:line="276" w:lineRule="auto"/>
              <w:rPr>
                <w:rFonts w:ascii="宋体" w:hAnsi="宋体"/>
                <w:bCs/>
                <w:sz w:val="28"/>
                <w:szCs w:val="28"/>
              </w:rPr>
            </w:pPr>
            <w:r>
              <w:rPr>
                <w:rFonts w:hint="eastAsia" w:ascii="宋体" w:hAnsi="宋体"/>
                <w:bCs/>
                <w:sz w:val="28"/>
                <w:szCs w:val="28"/>
              </w:rPr>
              <w:t>9、定时范围</w:t>
            </w:r>
            <w:r>
              <w:rPr>
                <w:rFonts w:hint="eastAsia" w:ascii="宋体" w:hAnsi="宋体"/>
                <w:bCs/>
                <w:sz w:val="28"/>
                <w:szCs w:val="28"/>
              </w:rPr>
              <w:tab/>
            </w:r>
            <w:r>
              <w:rPr>
                <w:rFonts w:hint="eastAsia" w:ascii="宋体" w:hAnsi="宋体"/>
                <w:bCs/>
                <w:sz w:val="28"/>
                <w:szCs w:val="28"/>
              </w:rPr>
              <w:t>10s～99min59s</w:t>
            </w:r>
          </w:p>
          <w:p>
            <w:pPr>
              <w:spacing w:line="276" w:lineRule="auto"/>
              <w:rPr>
                <w:rFonts w:ascii="宋体" w:hAnsi="宋体"/>
                <w:bCs/>
                <w:sz w:val="28"/>
                <w:szCs w:val="28"/>
              </w:rPr>
            </w:pPr>
            <w:r>
              <w:rPr>
                <w:rFonts w:hint="eastAsia" w:ascii="宋体" w:hAnsi="宋体"/>
                <w:bCs/>
                <w:sz w:val="28"/>
                <w:szCs w:val="28"/>
              </w:rPr>
              <w:t>10、整机噪声</w:t>
            </w:r>
            <w:r>
              <w:rPr>
                <w:rFonts w:hint="eastAsia" w:ascii="宋体" w:hAnsi="宋体"/>
                <w:bCs/>
                <w:sz w:val="28"/>
                <w:szCs w:val="28"/>
              </w:rPr>
              <w:tab/>
            </w:r>
            <w:r>
              <w:rPr>
                <w:rFonts w:hint="eastAsia" w:ascii="宋体" w:hAnsi="宋体"/>
                <w:bCs/>
                <w:sz w:val="28"/>
                <w:szCs w:val="28"/>
              </w:rPr>
              <w:t>≤ 55dB(A)</w:t>
            </w:r>
          </w:p>
          <w:p>
            <w:pPr>
              <w:spacing w:line="276" w:lineRule="auto"/>
              <w:rPr>
                <w:rFonts w:ascii="宋体" w:hAnsi="宋体"/>
                <w:bCs/>
                <w:sz w:val="28"/>
                <w:szCs w:val="28"/>
              </w:rPr>
            </w:pPr>
            <w:r>
              <w:rPr>
                <w:rFonts w:hint="eastAsia" w:ascii="宋体" w:hAnsi="宋体"/>
                <w:bCs/>
                <w:sz w:val="28"/>
                <w:szCs w:val="28"/>
              </w:rPr>
              <w:t>11、电源</w:t>
            </w:r>
            <w:r>
              <w:rPr>
                <w:rFonts w:hint="eastAsia" w:ascii="宋体" w:hAnsi="宋体"/>
                <w:bCs/>
                <w:sz w:val="28"/>
                <w:szCs w:val="28"/>
              </w:rPr>
              <w:tab/>
            </w:r>
            <w:r>
              <w:rPr>
                <w:rFonts w:hint="eastAsia" w:ascii="宋体" w:hAnsi="宋体"/>
                <w:bCs/>
                <w:sz w:val="28"/>
                <w:szCs w:val="28"/>
              </w:rPr>
              <w:t>AC220V  50Hz 5A</w:t>
            </w:r>
          </w:p>
          <w:p>
            <w:pPr>
              <w:spacing w:line="276" w:lineRule="auto"/>
              <w:rPr>
                <w:rFonts w:ascii="宋体" w:hAnsi="宋体"/>
                <w:bCs/>
                <w:sz w:val="28"/>
                <w:szCs w:val="28"/>
              </w:rPr>
            </w:pPr>
            <w:r>
              <w:rPr>
                <w:rFonts w:hint="eastAsia" w:ascii="宋体" w:hAnsi="宋体"/>
                <w:bCs/>
                <w:sz w:val="28"/>
                <w:szCs w:val="28"/>
              </w:rPr>
              <w:t>12、整机功率</w:t>
            </w:r>
            <w:r>
              <w:rPr>
                <w:rFonts w:hint="eastAsia" w:ascii="宋体" w:hAnsi="宋体"/>
                <w:bCs/>
                <w:sz w:val="28"/>
                <w:szCs w:val="28"/>
              </w:rPr>
              <w:tab/>
            </w:r>
            <w:r>
              <w:rPr>
                <w:rFonts w:hint="eastAsia" w:ascii="宋体" w:hAnsi="宋体"/>
                <w:bCs/>
                <w:sz w:val="28"/>
                <w:szCs w:val="28"/>
              </w:rPr>
              <w:t>80W</w:t>
            </w:r>
          </w:p>
          <w:p>
            <w:pPr>
              <w:spacing w:line="276" w:lineRule="auto"/>
              <w:rPr>
                <w:rFonts w:ascii="宋体" w:hAnsi="宋体"/>
                <w:bCs/>
                <w:sz w:val="28"/>
                <w:szCs w:val="28"/>
              </w:rPr>
            </w:pPr>
            <w:r>
              <w:rPr>
                <w:rFonts w:ascii="宋体" w:hAnsi="宋体"/>
                <w:bCs/>
                <w:sz w:val="28"/>
                <w:szCs w:val="28"/>
              </w:rPr>
              <w:t>13</w:t>
            </w:r>
            <w:r>
              <w:rPr>
                <w:rFonts w:hint="eastAsia" w:ascii="宋体" w:hAnsi="宋体"/>
                <w:bCs/>
                <w:sz w:val="28"/>
                <w:szCs w:val="28"/>
              </w:rPr>
              <w:t>、外形尺寸</w:t>
            </w:r>
            <w:r>
              <w:rPr>
                <w:rFonts w:hint="eastAsia" w:ascii="宋体" w:hAnsi="宋体"/>
                <w:bCs/>
                <w:sz w:val="28"/>
                <w:szCs w:val="28"/>
              </w:rPr>
              <w:tab/>
            </w:r>
            <w:r>
              <w:rPr>
                <w:rFonts w:hint="eastAsia" w:ascii="宋体" w:hAnsi="宋体"/>
                <w:bCs/>
                <w:sz w:val="28"/>
                <w:szCs w:val="28"/>
              </w:rPr>
              <w:t>375x320x240 mm(L×W×H)</w:t>
            </w:r>
          </w:p>
          <w:p>
            <w:pPr>
              <w:spacing w:line="276" w:lineRule="auto"/>
              <w:rPr>
                <w:rFonts w:ascii="宋体" w:hAnsi="宋体"/>
                <w:bCs/>
                <w:sz w:val="28"/>
                <w:szCs w:val="28"/>
              </w:rPr>
            </w:pPr>
            <w:r>
              <w:rPr>
                <w:rFonts w:ascii="宋体" w:hAnsi="宋体"/>
                <w:bCs/>
                <w:sz w:val="28"/>
                <w:szCs w:val="28"/>
              </w:rPr>
              <w:t>14</w:t>
            </w:r>
            <w:r>
              <w:rPr>
                <w:rFonts w:hint="eastAsia" w:ascii="宋体" w:hAnsi="宋体"/>
                <w:bCs/>
                <w:sz w:val="28"/>
                <w:szCs w:val="28"/>
              </w:rPr>
              <w:t>、重量小于5.</w:t>
            </w:r>
            <w:r>
              <w:rPr>
                <w:rFonts w:ascii="宋体" w:hAnsi="宋体"/>
                <w:bCs/>
                <w:sz w:val="28"/>
                <w:szCs w:val="28"/>
              </w:rPr>
              <w:t>6</w:t>
            </w:r>
            <w:r>
              <w:rPr>
                <w:rFonts w:hint="eastAsia" w:ascii="宋体" w:hAnsi="宋体"/>
                <w:bCs/>
                <w:sz w:val="28"/>
                <w:szCs w:val="28"/>
              </w:rPr>
              <w:t>kg</w:t>
            </w:r>
          </w:p>
          <w:p>
            <w:pPr>
              <w:spacing w:after="0" w:line="240" w:lineRule="auto"/>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4"/>
          </w:tcPr>
          <w:p>
            <w:pPr>
              <w:spacing w:after="0" w:line="240" w:lineRule="auto"/>
            </w:pPr>
            <w:r>
              <w:t>配置清单 (注：配置清单需明确数量、单位、且不可涉及产地品牌型号等)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tcPr>
          <w:p>
            <w:pPr>
              <w:spacing w:after="0" w:line="240" w:lineRule="auto"/>
            </w:pPr>
            <w:r>
              <w:t>序号</w:t>
            </w:r>
          </w:p>
        </w:tc>
        <w:tc>
          <w:tcPr>
            <w:tcW w:w="2743" w:type="dxa"/>
          </w:tcPr>
          <w:p>
            <w:pPr>
              <w:spacing w:after="0" w:line="240" w:lineRule="auto"/>
            </w:pPr>
            <w:r>
              <w:t>名称</w:t>
            </w:r>
          </w:p>
        </w:tc>
        <w:tc>
          <w:tcPr>
            <w:tcW w:w="2160" w:type="dxa"/>
          </w:tcPr>
          <w:p>
            <w:pPr>
              <w:spacing w:after="0" w:line="240" w:lineRule="auto"/>
            </w:pPr>
            <w:r>
              <w:t>单位</w:t>
            </w:r>
          </w:p>
        </w:tc>
        <w:tc>
          <w:tcPr>
            <w:tcW w:w="2160" w:type="dxa"/>
          </w:tcPr>
          <w:p>
            <w:pPr>
              <w:spacing w:after="0" w:line="240" w:lineRule="auto"/>
            </w:pPr>
            <w: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tcPr>
          <w:p>
            <w:pPr>
              <w:spacing w:after="0" w:line="240" w:lineRule="auto"/>
            </w:pPr>
            <w:r>
              <w:t>1</w:t>
            </w:r>
          </w:p>
        </w:tc>
        <w:tc>
          <w:tcPr>
            <w:tcW w:w="2743" w:type="dxa"/>
          </w:tcPr>
          <w:p>
            <w:pPr>
              <w:spacing w:after="0" w:line="240" w:lineRule="auto"/>
            </w:pPr>
            <w:r>
              <w:t>离心机主机</w:t>
            </w:r>
          </w:p>
        </w:tc>
        <w:tc>
          <w:tcPr>
            <w:tcW w:w="2160" w:type="dxa"/>
          </w:tcPr>
          <w:p>
            <w:pPr>
              <w:spacing w:after="0" w:line="240" w:lineRule="auto"/>
            </w:pPr>
            <w:r>
              <w:t>台</w:t>
            </w:r>
          </w:p>
        </w:tc>
        <w:tc>
          <w:tcPr>
            <w:tcW w:w="2160" w:type="dxa"/>
          </w:tcPr>
          <w:p>
            <w:pPr>
              <w:spacing w:after="0" w:line="240" w:lineRule="auto"/>
            </w:pPr>
            <w:r>
              <w:t>1</w:t>
            </w:r>
          </w:p>
        </w:tc>
      </w:tr>
    </w:tbl>
    <w:p>
      <w:r>
        <w:t>二、商务条款</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Pr>
          <w:p>
            <w:pPr>
              <w:spacing w:after="0" w:line="240" w:lineRule="auto"/>
            </w:pPr>
            <w:r>
              <w:t>序号</w:t>
            </w:r>
          </w:p>
        </w:tc>
        <w:tc>
          <w:tcPr>
            <w:tcW w:w="2880" w:type="dxa"/>
          </w:tcPr>
          <w:p>
            <w:pPr>
              <w:spacing w:after="0" w:line="240" w:lineRule="auto"/>
            </w:pPr>
            <w:r>
              <w:t>目录</w:t>
            </w:r>
          </w:p>
        </w:tc>
        <w:tc>
          <w:tcPr>
            <w:tcW w:w="2880" w:type="dxa"/>
          </w:tcPr>
          <w:p>
            <w:pPr>
              <w:spacing w:after="0" w:line="240" w:lineRule="auto"/>
            </w:pPr>
            <w: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3"/>
          </w:tcPr>
          <w:p>
            <w:pPr>
              <w:spacing w:after="0" w:line="240" w:lineRule="auto"/>
            </w:pPr>
            <w: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restart"/>
          </w:tcPr>
          <w:p>
            <w:pPr>
              <w:spacing w:after="0" w:line="240" w:lineRule="auto"/>
            </w:pPr>
            <w:r>
              <w:t>1</w:t>
            </w:r>
          </w:p>
        </w:tc>
        <w:tc>
          <w:tcPr>
            <w:tcW w:w="2880" w:type="dxa"/>
            <w:vMerge w:val="restart"/>
          </w:tcPr>
          <w:p>
            <w:pPr>
              <w:spacing w:after="0" w:line="240" w:lineRule="auto"/>
            </w:pPr>
            <w:r>
              <w:t>维修及维护服务</w:t>
            </w:r>
          </w:p>
        </w:tc>
        <w:tc>
          <w:tcPr>
            <w:tcW w:w="2880" w:type="dxa"/>
          </w:tcPr>
          <w:p>
            <w:pPr>
              <w:spacing w:after="0" w:line="240" w:lineRule="auto"/>
            </w:pPr>
            <w:r>
              <w:t>★1.1所投货物（含标准配置及可选配件）免费保修期 3 年,时间自最终验收合格并交付使用之日起计算。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1.2免费保修期内，年度定期预防性维护保养次数应不少于 4 次。保修期内免费更换零配件、免工时 费。每次预防性维护保养后应出具符合厂家标准的保养记录，每年度提供符合厂家技术标准或第三方认可的质控报告。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1.3由设备制造商提供售后服务，4 小时内响应，24 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★1.4提供设备原厂服务，负责货物的终身维修，保证 10 年以上供应维修配件，5 年内免费提供软件升级服务，并免费配合医院完成设备端信息化接口改造。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Pr>
          <w:p>
            <w:pPr>
              <w:spacing w:after="0" w:line="240" w:lineRule="auto"/>
            </w:pPr>
            <w:r>
              <w:t>2</w:t>
            </w:r>
          </w:p>
        </w:tc>
        <w:tc>
          <w:tcPr>
            <w:tcW w:w="2880" w:type="dxa"/>
          </w:tcPr>
          <w:p>
            <w:pPr>
              <w:spacing w:after="0" w:line="240" w:lineRule="auto"/>
            </w:pPr>
            <w:r>
              <w:t>质量保证</w:t>
            </w:r>
          </w:p>
        </w:tc>
        <w:tc>
          <w:tcPr>
            <w:tcW w:w="2880" w:type="dxa"/>
          </w:tcPr>
          <w:p>
            <w:pPr>
              <w:spacing w:after="0" w:line="240" w:lineRule="auto"/>
            </w:pPr>
            <w:r>
              <w:t>2.1在免费保修期内，投标人应确保年开机率在95%以上，否则按照如下约定执行：①年开机率90~95%（含95%），保修期延长至原有保修期 5 倍；②年开机率在85~90%（含90%），保修期延长至原有保修期 10 倍；③年开机率低于85%（含85%），投标人必须无条件更换新机，赔偿用户的直接经济损失和间接经济损失，同时采购人扣除投标人剩余尾款或履约保证金。注：年开机率=（365-停机天数）/365）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3"/>
          </w:tcPr>
          <w:p>
            <w:pPr>
              <w:spacing w:after="0" w:line="240" w:lineRule="auto"/>
            </w:pPr>
            <w: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restart"/>
          </w:tcPr>
          <w:p>
            <w:pPr>
              <w:spacing w:after="0" w:line="240" w:lineRule="auto"/>
            </w:pPr>
            <w:r>
              <w:t>1</w:t>
            </w:r>
          </w:p>
        </w:tc>
        <w:tc>
          <w:tcPr>
            <w:tcW w:w="2880" w:type="dxa"/>
            <w:vMerge w:val="restart"/>
          </w:tcPr>
          <w:p>
            <w:pPr>
              <w:spacing w:after="0" w:line="240" w:lineRule="auto"/>
            </w:pPr>
            <w:r>
              <w:t>服务内容及要求</w:t>
            </w:r>
          </w:p>
        </w:tc>
        <w:tc>
          <w:tcPr>
            <w:tcW w:w="2880" w:type="dxa"/>
          </w:tcPr>
          <w:p>
            <w:pPr>
              <w:spacing w:after="0" w:line="240" w:lineRule="auto"/>
            </w:pPr>
            <w:r>
              <w:t>1.1由设备制造商提供售后服务， 4 小时内响应，24 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★1.2免费保修期满后提供设备原厂服务，负责货物的终身维修，以优惠价供应维修零配件、消耗品和延续保修合同，保证免费保修期满后 7 年以上供应维修配件，2 年内免费提供软件升级服务。价格最高的前5项零配件、消耗品和延续全保修合同、部分备件与人工保修合同、仅人工保修合同的报价明细必须填写于《零配件、消耗品和延续保修合同报价明清单》中。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1.3维修的货物经采购人验收合格，且设备制造商提供维修专用发票后，采购人支付维修费用。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1.4采购人可与投标人就优惠价进行谈判，但优惠价不得高于投标人在投标文件的《零配件、消耗品和延续保修合同报价明清单》中承诺的维修零配件、消耗品和延续保修合同的报价。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1.5投标人及设备制造商不得以任何理由不按时进行维修，不得要求采购人购买所谓“保修服务”（即：不论设备有无故障先买保修服务），不得在设备中嵌设任何不利于采购人使用与维修设备的障碍。在规定的设备使用寿命期限内保证相关配件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3"/>
          </w:tcPr>
          <w:p>
            <w:pPr>
              <w:spacing w:after="0" w:line="240" w:lineRule="auto"/>
            </w:pPr>
            <w: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restart"/>
          </w:tcPr>
          <w:p>
            <w:pPr>
              <w:spacing w:after="0" w:line="240" w:lineRule="auto"/>
            </w:pPr>
            <w:r>
              <w:t>2</w:t>
            </w:r>
          </w:p>
        </w:tc>
        <w:tc>
          <w:tcPr>
            <w:tcW w:w="2880" w:type="dxa"/>
            <w:vMerge w:val="restart"/>
          </w:tcPr>
          <w:p>
            <w:pPr>
              <w:spacing w:after="0" w:line="240" w:lineRule="auto"/>
            </w:pPr>
            <w:r>
              <w:t>运输、安装和验收</w:t>
            </w:r>
          </w:p>
        </w:tc>
        <w:tc>
          <w:tcPr>
            <w:tcW w:w="2880" w:type="dxa"/>
          </w:tcPr>
          <w:p>
            <w:pPr>
              <w:spacing w:after="0" w:line="240" w:lineRule="auto"/>
            </w:pPr>
            <w:r>
              <w:t>★1.1投标人在签订合同之日起，国产设备60日历日内、进口设备90日历日内交货并安装调试完毕，交付采购人验收。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1.2签订合同后，如涉及机房装修改造，需立即向医院出具机房装修要求的各种资料。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1.3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1.4提供的货物必须为全新、经检验合格的产品。产品如需要计量检定的应提供相关计量检定部门出具的合法检定报告。其中，进口设备必须具有报关证明文件、原产地证明和商检合格证明文件。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1.5如涉及机房装修改造，供应商应提供机房内与安装设备直接相关的器具和部件，包括从配电箱到主机的电缆线，专用导轨吊架和地梁钢结构等设备专用配套配件，采购人仅负责通用要求的放射防护装修。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2.1投标人负责将货物安全无损运抵采购人指定地点,并承担设备的包装、运输、保险、装卸、安装调试、培训、商检及计量检测、关税、增值税和进口代理等费用。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2.2采购人有权检验或测试货物，以确认货物是否符合合同规格的要求，并且不承担额外的费用。如果发现所交货物与投标文件中所承诺的不符或存在质量、技术缺陷等,采购人可以拒绝接收该货物,投标人应在 7 天内采取补足、更换或退货等措施,以满足规格的要求，由此发生的一切损失和费用由投标人承担。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2.3投标人与院方设备验收人员共同确认安装条件符合相关技术要求后方可发出货物，投标人负责货物的现场安装和调试,提供货物安装、调试和维修所需的专用工具和辅助材料。投标人应在货物运至指定地点后一周内开始安装调试,并在 5 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2.4由投标人代表和采购人组成验收小组对产品进行验收。验收标准按照国家规定标准执行。经检验设备正常运作后签署验收报告,产品保修期自验收合格之日起算。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2.5设备安装过程中不得损坏安装场地内已有设备、器具和装修等物品，如有损坏，投标人应无条件恢复原状, 针对无法修复的投标人应当赔偿采购人的损失。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2.6如安装过程需要吊装、搬运工人超过 3 人等情况，需提前一周向医院设备科、总务科申报，办理入场手续，所有院外工作人员在院区内工作，需接受医院监管，佩戴医院发放的工牌，禁止吸烟及一切危害公共安全的行为，对有可能造成消防报警的，需提前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2.7医疗设备的包装箱使用后由中标（成交）供应商负责处理。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2.8废气排放、排污等接口无条件改造为医院已有标准和制式。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Pr>
          <w:p>
            <w:pPr>
              <w:spacing w:after="0" w:line="240" w:lineRule="auto"/>
            </w:pPr>
            <w:r>
              <w:t>3</w:t>
            </w:r>
          </w:p>
        </w:tc>
        <w:tc>
          <w:tcPr>
            <w:tcW w:w="2880" w:type="dxa"/>
          </w:tcPr>
          <w:p>
            <w:pPr>
              <w:spacing w:after="0" w:line="240" w:lineRule="auto"/>
            </w:pPr>
            <w:r>
              <w:t>培训</w:t>
            </w:r>
          </w:p>
        </w:tc>
        <w:tc>
          <w:tcPr>
            <w:tcW w:w="2880" w:type="dxa"/>
          </w:tcPr>
          <w:p>
            <w:pPr>
              <w:spacing w:after="0" w:line="240" w:lineRule="auto"/>
            </w:pPr>
            <w:r>
              <w:t>3.1中标人应派专业技术人员免费对采购单位指定人员进行定期培训及指导，直至其完全掌握设备的基本故障处理技术。中标人责成厂家提供标准化操作流程、日常保养流程、质控流程、PPT版本操作教程及操作视频、电子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restart"/>
          </w:tcPr>
          <w:p>
            <w:pPr>
              <w:spacing w:after="0" w:line="240" w:lineRule="auto"/>
            </w:pPr>
            <w:r>
              <w:t>4</w:t>
            </w:r>
          </w:p>
        </w:tc>
        <w:tc>
          <w:tcPr>
            <w:tcW w:w="2880" w:type="dxa"/>
            <w:vMerge w:val="restart"/>
          </w:tcPr>
          <w:p>
            <w:pPr>
              <w:spacing w:after="0" w:line="240" w:lineRule="auto"/>
            </w:pPr>
            <w:r>
              <w:t>知识产权</w:t>
            </w:r>
          </w:p>
        </w:tc>
        <w:tc>
          <w:tcPr>
            <w:tcW w:w="2880" w:type="dxa"/>
          </w:tcPr>
          <w:p>
            <w:pPr>
              <w:spacing w:after="0" w:line="240" w:lineRule="auto"/>
            </w:pPr>
            <w: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Pr>
          <w:p>
            <w:pPr>
              <w:spacing w:after="0" w:line="240" w:lineRule="auto"/>
            </w:pPr>
            <w:r>
              <w:t>5</w:t>
            </w:r>
          </w:p>
        </w:tc>
        <w:tc>
          <w:tcPr>
            <w:tcW w:w="2880" w:type="dxa"/>
          </w:tcPr>
          <w:p>
            <w:pPr>
              <w:spacing w:after="0" w:line="240" w:lineRule="auto"/>
            </w:pPr>
            <w:r>
              <w:t>付款方式</w:t>
            </w:r>
          </w:p>
        </w:tc>
        <w:tc>
          <w:tcPr>
            <w:tcW w:w="2880" w:type="dxa"/>
          </w:tcPr>
          <w:p>
            <w:pPr>
              <w:spacing w:after="0" w:line="240" w:lineRule="auto"/>
            </w:pPr>
            <w:r>
              <w:t>5.1产品安装、调试完毕并经过甲方验收合格后5日内，乙方需支付合同总金额的5%作为质保金到甲方指定账户；货到指定地点、验收合格并提供全额发票办理入库之日起三个月内，甲方向乙方支付全款；免费保修期满后，经采购人确认产品质量无问题及售后服务达标后，甲方无息返还乙方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restart"/>
          </w:tcPr>
          <w:p>
            <w:pPr>
              <w:spacing w:after="0" w:line="240" w:lineRule="auto"/>
            </w:pPr>
            <w:r>
              <w:t>6</w:t>
            </w:r>
          </w:p>
        </w:tc>
        <w:tc>
          <w:tcPr>
            <w:tcW w:w="2880" w:type="dxa"/>
            <w:vMerge w:val="restart"/>
          </w:tcPr>
          <w:p>
            <w:pPr>
              <w:spacing w:after="0" w:line="240" w:lineRule="auto"/>
            </w:pPr>
            <w:r>
              <w:t>违约责任</w:t>
            </w:r>
          </w:p>
        </w:tc>
        <w:tc>
          <w:tcPr>
            <w:tcW w:w="2880" w:type="dxa"/>
          </w:tcPr>
          <w:p>
            <w:pPr>
              <w:spacing w:after="0" w:line="240" w:lineRule="auto"/>
            </w:pPr>
            <w:r>
              <w:t>6.1中标人不能交货的，需偿付不能交货部分货款的  10% 的违约金并按主管部门相关规定处理。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6.2中标人逾期交货的，将被没收履约保证金并按主管部门相关规定处理。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vMerge w:val="continue"/>
          </w:tcPr>
          <w:p>
            <w:pPr>
              <w:spacing w:after="0" w:line="240" w:lineRule="auto"/>
            </w:pPr>
          </w:p>
        </w:tc>
        <w:tc>
          <w:tcPr>
            <w:tcW w:w="2880" w:type="dxa"/>
            <w:vMerge w:val="continue"/>
          </w:tcPr>
          <w:p>
            <w:pPr>
              <w:spacing w:after="0" w:line="240" w:lineRule="auto"/>
            </w:pPr>
          </w:p>
        </w:tc>
        <w:tc>
          <w:tcPr>
            <w:tcW w:w="2880" w:type="dxa"/>
          </w:tcPr>
          <w:p>
            <w:pPr>
              <w:spacing w:after="0" w:line="240" w:lineRule="auto"/>
            </w:pPr>
            <w:r>
              <w:t>6.3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Pr>
          <w:p>
            <w:pPr>
              <w:spacing w:after="0" w:line="240" w:lineRule="auto"/>
            </w:pPr>
            <w:r>
              <w:t>7</w:t>
            </w:r>
          </w:p>
        </w:tc>
        <w:tc>
          <w:tcPr>
            <w:tcW w:w="2880" w:type="dxa"/>
          </w:tcPr>
          <w:p>
            <w:pPr>
              <w:spacing w:after="0" w:line="240" w:lineRule="auto"/>
            </w:pPr>
            <w:r>
              <w:t>数据接口要求</w:t>
            </w:r>
          </w:p>
        </w:tc>
        <w:tc>
          <w:tcPr>
            <w:tcW w:w="2880" w:type="dxa"/>
          </w:tcPr>
          <w:p>
            <w:pPr>
              <w:spacing w:after="0" w:line="240" w:lineRule="auto"/>
            </w:pPr>
            <w:r>
              <w:t>7.1中标（成交）供应商应无偿配合医院信息科将设备连接到信息系统中，连接信息系统过程中如需产生费用则由其承担。中标（成交）供应商不能向医院信息系统如HIS、PACS、LIS等提出另行支付接口费等费用。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Pr>
          <w:p>
            <w:pPr>
              <w:spacing w:after="0" w:line="240" w:lineRule="auto"/>
            </w:pPr>
            <w:r>
              <w:t>8</w:t>
            </w:r>
          </w:p>
        </w:tc>
        <w:tc>
          <w:tcPr>
            <w:tcW w:w="2880" w:type="dxa"/>
          </w:tcPr>
          <w:p>
            <w:pPr>
              <w:spacing w:after="0" w:line="240" w:lineRule="auto"/>
            </w:pPr>
            <w:r>
              <w:t>其他</w:t>
            </w:r>
          </w:p>
        </w:tc>
        <w:tc>
          <w:tcPr>
            <w:tcW w:w="2880" w:type="dxa"/>
          </w:tcPr>
          <w:p>
            <w:pPr>
              <w:spacing w:after="0" w:line="240" w:lineRule="auto"/>
            </w:pPr>
            <w:r>
              <w:t>8.1投标人应按其投标文件中的承诺，进行其他售后服务工作。</w:t>
            </w:r>
          </w:p>
        </w:tc>
      </w:tr>
    </w:tbl>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Courier New">
    <w:panose1 w:val="02070309020205020404"/>
    <w:charset w:val="00"/>
    <w:family w:val="auto"/>
    <w:pitch w:val="default"/>
    <w:sig w:usb0="E0002EFF" w:usb1="C0007843"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NTgyMmJlMjU4NjE0Y2ViMzU5MTc0OTgyYjkwMzQifQ=="/>
  </w:docVars>
  <w:rsids>
    <w:rsidRoot w:val="00B47730"/>
    <w:rsid w:val="00034616"/>
    <w:rsid w:val="0006063C"/>
    <w:rsid w:val="0015074B"/>
    <w:rsid w:val="0029639D"/>
    <w:rsid w:val="00326F90"/>
    <w:rsid w:val="00AA1D8D"/>
    <w:rsid w:val="00B47730"/>
    <w:rsid w:val="00CB0664"/>
    <w:rsid w:val="00FC693F"/>
    <w:rsid w:val="74E07D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qFormat="1"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2"/>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2">
    <w:name w:val="macro"/>
    <w:link w:val="143"/>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2"/>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0"/>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uiPriority w:val="99"/>
    <w:pPr>
      <w:ind w:left="360" w:hanging="360"/>
      <w:contextualSpacing/>
    </w:pPr>
  </w:style>
  <w:style w:type="paragraph" w:styleId="26">
    <w:name w:val="Body Text 2"/>
    <w:basedOn w:val="1"/>
    <w:link w:val="141"/>
    <w:unhideWhenUsed/>
    <w:uiPriority w:val="99"/>
    <w:pPr>
      <w:spacing w:after="120" w:line="480" w:lineRule="auto"/>
    </w:pPr>
  </w:style>
  <w:style w:type="paragraph" w:styleId="27">
    <w:name w:val="List Continue 2"/>
    <w:basedOn w:val="1"/>
    <w:unhideWhenUsed/>
    <w:uiPriority w:val="99"/>
    <w:pPr>
      <w:spacing w:after="120"/>
      <w:ind w:left="720"/>
      <w:contextualSpacing/>
    </w:pPr>
  </w:style>
  <w:style w:type="paragraph" w:styleId="28">
    <w:name w:val="List Continue 3"/>
    <w:basedOn w:val="1"/>
    <w:unhideWhenUsed/>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uiPriority w:val="99"/>
  </w:style>
  <w:style w:type="character" w:customStyle="1" w:styleId="141">
    <w:name w:val="Body Text 2 Char"/>
    <w:basedOn w:val="130"/>
    <w:link w:val="26"/>
    <w:uiPriority w:val="99"/>
  </w:style>
  <w:style w:type="character" w:customStyle="1" w:styleId="142">
    <w:name w:val="Body Text 3 Char"/>
    <w:basedOn w:val="130"/>
    <w:link w:val="17"/>
    <w:uiPriority w:val="99"/>
    <w:rPr>
      <w:sz w:val="16"/>
      <w:szCs w:val="16"/>
    </w:rPr>
  </w:style>
  <w:style w:type="character" w:customStyle="1" w:styleId="143">
    <w:name w:val="Macro Text Char"/>
    <w:basedOn w:val="130"/>
    <w:link w:val="2"/>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uiPriority w:val="29"/>
    <w:rPr>
      <w:i/>
      <w:iCs/>
      <w:color w:val="000000" w:themeColor="text1"/>
      <w14:textFill>
        <w14:solidFill>
          <w14:schemeClr w14:val="tx1"/>
        </w14:solidFill>
      </w14:textFill>
    </w:rPr>
  </w:style>
  <w:style w:type="character" w:customStyle="1" w:styleId="146">
    <w:name w:val="Heading 4 Char"/>
    <w:basedOn w:val="130"/>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2756</Words>
  <Characters>2864</Characters>
  <Lines>0</Lines>
  <Paragraphs>0</Paragraphs>
  <TotalTime>0</TotalTime>
  <ScaleCrop>false</ScaleCrop>
  <LinksUpToDate>false</LinksUpToDate>
  <CharactersWithSpaces>2895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@SHAO@</cp:lastModifiedBy>
  <dcterms:modified xsi:type="dcterms:W3CDTF">2022-07-27T00:30:10Z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FCCE56D17FF44A8EA8BF73EAFD264A11</vt:lpwstr>
  </property>
</Properties>
</file>