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一、具体技术要求</w:t>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t>货物名称</w:t>
            </w:r>
          </w:p>
        </w:tc>
        <w:tc>
          <w:tcPr>
            <w:tcW w:type="dxa" w:w="6480"/>
            <w:gridSpan w:val="3"/>
          </w:tcPr>
          <w:p>
            <w:r>
              <w:t>技术要求</w:t>
            </w:r>
          </w:p>
        </w:tc>
      </w:tr>
      <w:tr>
        <w:tc>
          <w:tcPr>
            <w:tcW w:type="dxa" w:w="2160"/>
          </w:tcPr>
          <w:p>
            <w:r>
              <w:t>总体要求</w:t>
            </w:r>
          </w:p>
        </w:tc>
        <w:tc>
          <w:tcPr>
            <w:tcW w:type="dxa" w:w="6480"/>
            <w:gridSpan w:val="3"/>
          </w:tcPr>
          <w:p>
            <w:r>
              <w:t xml:space="preserve">1、注册证名称为深部静脉血栓防治仪； </w:t>
              <w:br/>
              <w:br/>
              <w:t>2、功能要求:通过促进下肢静脉血液回流以减少静脉血栓发生的机率。</w:t>
              <w:br/>
              <w:br/>
              <w:t>3、配置要求:主机1台，4腔可复用足腿套2只，4腔专用连接管束2条，4孔阻塞器1个，单孔防水塞8粒，操作手册1本。</w:t>
              <w:br/>
              <w:br/>
              <w:t>4、主机没有定时装置，能长时间连续使用最少72小时；</w:t>
              <w:br/>
              <w:br/>
              <w:t>5、一键启动，内置传感器，实时监控调节工作压力。</w:t>
              <w:br/>
              <w:br/>
              <w:t>6、主机配备声、光双重报警系统，确保产品的使用安全。</w:t>
              <w:br/>
              <w:br/>
              <w:t>7、仪器在断电后，能自动排出压力套内的空气。</w:t>
              <w:br/>
              <w:br/>
              <w:t>8、压力范围:50-60mmHg，不可高于60 mmHg。</w:t>
              <w:br/>
              <w:br/>
              <w:t>9、除电源键以外，需另配带有明显“开始/暂停”标识的实体功能性开关按键，操作方便安全，并符合行业强制标准；</w:t>
              <w:br/>
              <w:br/>
              <w:t>10、要求连接管与压力套接口同时用颜色和数字对应.确保操作简单安全</w:t>
              <w:br/>
              <w:br/>
              <w:t>11、肢体压力套均有独立的注册证；肢体压力套上具有左右标识；</w:t>
              <w:br/>
              <w:br/>
              <w:t>12、配备床边挂钩便于使用；</w:t>
              <w:br/>
              <w:br/>
              <w:t>13、重量:≤2.5Kg</w:t>
            </w:r>
          </w:p>
        </w:tc>
      </w:tr>
      <w:tr>
        <w:tc>
          <w:tcPr>
            <w:tcW w:type="dxa" w:w="8640"/>
            <w:gridSpan w:val="4"/>
          </w:tcPr>
          <w:p>
            <w:r>
              <w:t>配置清单 (注：配置清单需明确数量、单位、且不可涉及产地品牌型号等)</w:t>
            </w:r>
          </w:p>
        </w:tc>
      </w:tr>
      <w:tr>
        <w:tc>
          <w:tcPr>
            <w:tcW w:type="dxa" w:w="2160"/>
          </w:tcPr>
          <w:p>
            <w:r>
              <w:t>序号</w:t>
            </w:r>
          </w:p>
        </w:tc>
        <w:tc>
          <w:tcPr>
            <w:tcW w:type="dxa" w:w="2160"/>
          </w:tcPr>
          <w:p>
            <w:r>
              <w:t>名称</w:t>
            </w:r>
          </w:p>
        </w:tc>
        <w:tc>
          <w:tcPr>
            <w:tcW w:type="dxa" w:w="2160"/>
          </w:tcPr>
          <w:p>
            <w:r>
              <w:t>单位</w:t>
            </w:r>
          </w:p>
        </w:tc>
        <w:tc>
          <w:tcPr>
            <w:tcW w:type="dxa" w:w="2160"/>
          </w:tcPr>
          <w:p>
            <w:r>
              <w:t>数量</w:t>
            </w:r>
          </w:p>
        </w:tc>
      </w:tr>
      <w:tr>
        <w:tc>
          <w:tcPr>
            <w:tcW w:type="dxa" w:w="2160"/>
          </w:tcPr>
          <w:p>
            <w:r>
              <w:t>1</w:t>
            </w:r>
          </w:p>
        </w:tc>
        <w:tc>
          <w:tcPr>
            <w:tcW w:type="dxa" w:w="2160"/>
          </w:tcPr>
          <w:p>
            <w:r>
              <w:t>操作手册</w:t>
            </w:r>
          </w:p>
        </w:tc>
        <w:tc>
          <w:tcPr>
            <w:tcW w:type="dxa" w:w="2160"/>
          </w:tcPr>
          <w:p>
            <w:r>
              <w:t>本</w:t>
            </w:r>
          </w:p>
        </w:tc>
        <w:tc>
          <w:tcPr>
            <w:tcW w:type="dxa" w:w="2160"/>
          </w:tcPr>
          <w:p>
            <w:r>
              <w:t>2</w:t>
            </w:r>
          </w:p>
        </w:tc>
      </w:tr>
      <w:tr>
        <w:tc>
          <w:tcPr>
            <w:tcW w:type="dxa" w:w="2160"/>
          </w:tcPr>
          <w:p>
            <w:r>
              <w:t>2</w:t>
            </w:r>
          </w:p>
        </w:tc>
        <w:tc>
          <w:tcPr>
            <w:tcW w:type="dxa" w:w="2160"/>
          </w:tcPr>
          <w:p>
            <w:r>
              <w:t>主机</w:t>
            </w:r>
          </w:p>
        </w:tc>
        <w:tc>
          <w:tcPr>
            <w:tcW w:type="dxa" w:w="2160"/>
          </w:tcPr>
          <w:p>
            <w:r>
              <w:t>台</w:t>
            </w:r>
          </w:p>
        </w:tc>
        <w:tc>
          <w:tcPr>
            <w:tcW w:type="dxa" w:w="2160"/>
          </w:tcPr>
          <w:p>
            <w:r>
              <w:t>2</w:t>
            </w:r>
          </w:p>
        </w:tc>
      </w:tr>
      <w:tr>
        <w:tc>
          <w:tcPr>
            <w:tcW w:type="dxa" w:w="2160"/>
          </w:tcPr>
          <w:p>
            <w:r>
              <w:t>3</w:t>
            </w:r>
          </w:p>
        </w:tc>
        <w:tc>
          <w:tcPr>
            <w:tcW w:type="dxa" w:w="2160"/>
          </w:tcPr>
          <w:p>
            <w:r>
              <w:t>4腔可复用足腿套</w:t>
            </w:r>
          </w:p>
        </w:tc>
        <w:tc>
          <w:tcPr>
            <w:tcW w:type="dxa" w:w="2160"/>
          </w:tcPr>
          <w:p>
            <w:r>
              <w:t>只</w:t>
            </w:r>
          </w:p>
        </w:tc>
        <w:tc>
          <w:tcPr>
            <w:tcW w:type="dxa" w:w="2160"/>
          </w:tcPr>
          <w:p>
            <w:r>
              <w:t>4</w:t>
            </w:r>
          </w:p>
        </w:tc>
      </w:tr>
      <w:tr>
        <w:tc>
          <w:tcPr>
            <w:tcW w:type="dxa" w:w="2160"/>
          </w:tcPr>
          <w:p>
            <w:r>
              <w:t>4</w:t>
            </w:r>
          </w:p>
        </w:tc>
        <w:tc>
          <w:tcPr>
            <w:tcW w:type="dxa" w:w="2160"/>
          </w:tcPr>
          <w:p>
            <w:r>
              <w:t>4腔专用连接管束</w:t>
            </w:r>
          </w:p>
        </w:tc>
        <w:tc>
          <w:tcPr>
            <w:tcW w:type="dxa" w:w="2160"/>
          </w:tcPr>
          <w:p>
            <w:r>
              <w:t>条</w:t>
            </w:r>
          </w:p>
        </w:tc>
        <w:tc>
          <w:tcPr>
            <w:tcW w:type="dxa" w:w="2160"/>
          </w:tcPr>
          <w:p>
            <w:r>
              <w:t>4</w:t>
            </w:r>
          </w:p>
        </w:tc>
      </w:tr>
      <w:tr>
        <w:tc>
          <w:tcPr>
            <w:tcW w:type="dxa" w:w="2160"/>
          </w:tcPr>
          <w:p>
            <w:r>
              <w:t>5</w:t>
            </w:r>
          </w:p>
        </w:tc>
        <w:tc>
          <w:tcPr>
            <w:tcW w:type="dxa" w:w="2160"/>
          </w:tcPr>
          <w:p>
            <w:r>
              <w:t>4孔阻塞器</w:t>
            </w:r>
          </w:p>
        </w:tc>
        <w:tc>
          <w:tcPr>
            <w:tcW w:type="dxa" w:w="2160"/>
          </w:tcPr>
          <w:p>
            <w:r>
              <w:t>个</w:t>
            </w:r>
          </w:p>
        </w:tc>
        <w:tc>
          <w:tcPr>
            <w:tcW w:type="dxa" w:w="2160"/>
          </w:tcPr>
          <w:p>
            <w:r>
              <w:t>2</w:t>
            </w:r>
          </w:p>
        </w:tc>
      </w:tr>
      <w:tr>
        <w:tc>
          <w:tcPr>
            <w:tcW w:type="dxa" w:w="2160"/>
          </w:tcPr>
          <w:p>
            <w:r>
              <w:t>6</w:t>
            </w:r>
          </w:p>
        </w:tc>
        <w:tc>
          <w:tcPr>
            <w:tcW w:type="dxa" w:w="2160"/>
          </w:tcPr>
          <w:p>
            <w:r>
              <w:t>单孔防水塞</w:t>
            </w:r>
          </w:p>
        </w:tc>
        <w:tc>
          <w:tcPr>
            <w:tcW w:type="dxa" w:w="2160"/>
          </w:tcPr>
          <w:p>
            <w:r>
              <w:t>粒</w:t>
            </w:r>
          </w:p>
        </w:tc>
        <w:tc>
          <w:tcPr>
            <w:tcW w:type="dxa" w:w="2160"/>
          </w:tcPr>
          <w:p>
            <w:r>
              <w:t>16</w:t>
            </w:r>
          </w:p>
        </w:tc>
      </w:tr>
    </w:tbl>
    <w:p>
      <w:r>
        <w:t>二、商务条款</w:t>
      </w:r>
    </w:p>
    <w:tbl>
      <w:tblPr>
        <w:tblStyle w:val="TableGrid"/>
        <w:tblW w:type="auto" w:w="0"/>
        <w:tblLook w:firstColumn="1" w:firstRow="1" w:lastColumn="0" w:lastRow="0" w:noHBand="0" w:noVBand="1" w:val="04A0"/>
      </w:tblPr>
      <w:tblGrid>
        <w:gridCol w:w="2880"/>
        <w:gridCol w:w="2880"/>
        <w:gridCol w:w="2880"/>
      </w:tblGrid>
      <w:tr>
        <w:tc>
          <w:tcPr>
            <w:tcW w:type="dxa" w:w="2880"/>
          </w:tcPr>
          <w:p>
            <w:r>
              <w:t>序号</w:t>
            </w:r>
          </w:p>
        </w:tc>
        <w:tc>
          <w:tcPr>
            <w:tcW w:type="dxa" w:w="2880"/>
          </w:tcPr>
          <w:p>
            <w:r>
              <w:t>目录</w:t>
            </w:r>
          </w:p>
        </w:tc>
        <w:tc>
          <w:tcPr>
            <w:tcW w:type="dxa" w:w="2880"/>
          </w:tcPr>
          <w:p>
            <w:r>
              <w:t>商务要求</w:t>
            </w:r>
          </w:p>
        </w:tc>
      </w:tr>
      <w:tr>
        <w:tc>
          <w:tcPr>
            <w:tcW w:type="dxa" w:w="8640"/>
            <w:gridSpan w:val="3"/>
          </w:tcPr>
          <w:p>
            <w:r>
              <w:t>（一）免费保修期内售后服务要求</w:t>
            </w:r>
          </w:p>
        </w:tc>
      </w:tr>
      <w:tr>
        <w:tc>
          <w:tcPr>
            <w:tcW w:type="dxa" w:w="2880"/>
            <w:vMerge w:val="restart"/>
          </w:tcPr>
          <w:p>
            <w:r>
              <w:t>1</w:t>
            </w:r>
          </w:p>
        </w:tc>
        <w:tc>
          <w:tcPr>
            <w:tcW w:type="dxa" w:w="2880"/>
            <w:vMerge w:val="restart"/>
          </w:tcPr>
          <w:p>
            <w:r>
              <w:t>维修及维护服务</w:t>
            </w:r>
          </w:p>
        </w:tc>
        <w:tc>
          <w:tcPr>
            <w:tcW w:type="dxa" w:w="2880"/>
          </w:tcPr>
          <w:p>
            <w:r>
              <w:t>★1.1所投货物（含标准配置及可选配件）免费保修期 3 年,时间自最终验收合格并交付使用之日起计算。</w:t>
            </w:r>
          </w:p>
        </w:tc>
      </w:tr>
      <w:tr>
        <w:tc>
          <w:tcPr>
            <w:tcW w:type="dxa" w:w="2880"/>
            <w:vMerge/>
          </w:tcPr>
          <w:p/>
        </w:tc>
        <w:tc>
          <w:tcPr>
            <w:tcW w:type="dxa" w:w="2880"/>
            <w:vMerge/>
          </w:tcPr>
          <w:p/>
        </w:tc>
        <w:tc>
          <w:tcPr>
            <w:tcW w:type="dxa" w:w="2880"/>
          </w:tcPr>
          <w:p>
            <w:r>
              <w:t>1.2免费保修期内，年度定期预防性维护保养次数应不少于 4 次。保修期内免费更换零配件、免工时 费。每次预防性维护保养后应出具符合厂家标准的保养记录，每年度提供符合厂家技术标准或第三方认可的质控报告。</w:t>
            </w:r>
          </w:p>
        </w:tc>
      </w:tr>
      <w:tr>
        <w:tc>
          <w:tcPr>
            <w:tcW w:type="dxa" w:w="2880"/>
            <w:vMerge/>
          </w:tcPr>
          <w:p/>
        </w:tc>
        <w:tc>
          <w:tcPr>
            <w:tcW w:type="dxa" w:w="2880"/>
            <w:vMerge/>
          </w:tcPr>
          <w:p/>
        </w:tc>
        <w:tc>
          <w:tcPr>
            <w:tcW w:type="dxa" w:w="2880"/>
          </w:tcPr>
          <w:p>
            <w:r>
              <w:t>1.3由设备制造商提供售后服务，4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★1.4提供设备原厂服务，负责货物的终身维修，保证 10 年以上供应维修配件，5 年内免费提供软件升级服务，并免费配合医院完成设备端信息化接口改造。</w:t>
            </w:r>
          </w:p>
        </w:tc>
      </w:tr>
      <w:tr>
        <w:tc>
          <w:tcPr>
            <w:tcW w:type="dxa" w:w="2880"/>
          </w:tcPr>
          <w:p>
            <w:r>
              <w:t>2</w:t>
            </w:r>
          </w:p>
        </w:tc>
        <w:tc>
          <w:tcPr>
            <w:tcW w:type="dxa" w:w="2880"/>
          </w:tcPr>
          <w:p>
            <w:r>
              <w:t>质量保证</w:t>
            </w:r>
          </w:p>
        </w:tc>
        <w:tc>
          <w:tcPr>
            <w:tcW w:type="dxa" w:w="2880"/>
          </w:tcPr>
          <w:p>
            <w:r>
              <w:t>2.1在免费保修期内，投标人应确保年开机率在95%以上，否则按照如下约定执行：①年开机率90~95%（含95%），保修期延长至原有保修期 5 倍；②年开机率在85~90%（含90%），保修期延长至原有保修期 10 倍；③年开机率低于85%（含85%），投标人必须无条件更换新机，赔偿用户的直接经济损失和间接经济损失，同时采购人扣除投标人剩余尾款或履约保证金。注：年开机率=（365-停机天数）/365）</w:t>
            </w:r>
          </w:p>
        </w:tc>
      </w:tr>
      <w:tr>
        <w:tc>
          <w:tcPr>
            <w:tcW w:type="dxa" w:w="8640"/>
            <w:gridSpan w:val="3"/>
          </w:tcPr>
          <w:p>
            <w:r>
              <w:t>（二）免费保修期外售后服务要求</w:t>
            </w:r>
          </w:p>
        </w:tc>
      </w:tr>
      <w:tr>
        <w:tc>
          <w:tcPr>
            <w:tcW w:type="dxa" w:w="2880"/>
            <w:vMerge w:val="restart"/>
          </w:tcPr>
          <w:p>
            <w:r>
              <w:t>1</w:t>
            </w:r>
          </w:p>
        </w:tc>
        <w:tc>
          <w:tcPr>
            <w:tcW w:type="dxa" w:w="2880"/>
            <w:vMerge w:val="restart"/>
          </w:tcPr>
          <w:p>
            <w:r>
              <w:t>服务内容及要求</w:t>
            </w:r>
          </w:p>
        </w:tc>
        <w:tc>
          <w:tcPr>
            <w:tcW w:type="dxa" w:w="2880"/>
          </w:tcPr>
          <w:p>
            <w:r>
              <w:t>1.1由设备制造商提供售后服务， 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★1.2免费保修期满后提供设备原厂服务，负责货物的终身维修，以优惠价供应维修零配件、消耗品和延续保修合同，保证免费保修期满后 7 年以上供应维修配件，2 年内免费提供软件升级服务。价格最高的前5项零配件、消耗品和延续全保修合同、部分备件与人工保修合同、仅人工保修合同的报价明细必须填写于《零配件、消耗品和延续保修合同报价明清单》中。</w:t>
            </w:r>
          </w:p>
        </w:tc>
      </w:tr>
      <w:tr>
        <w:tc>
          <w:tcPr>
            <w:tcW w:type="dxa" w:w="2880"/>
            <w:vMerge/>
          </w:tcPr>
          <w:p/>
        </w:tc>
        <w:tc>
          <w:tcPr>
            <w:tcW w:type="dxa" w:w="2880"/>
            <w:vMerge/>
          </w:tcPr>
          <w:p/>
        </w:tc>
        <w:tc>
          <w:tcPr>
            <w:tcW w:type="dxa" w:w="2880"/>
          </w:tcPr>
          <w:p>
            <w:r>
              <w:t>1.3维修的货物经采购人验收合格，且设备制造商提供维修专用发票后，采购人支付维修费用。</w:t>
            </w:r>
          </w:p>
        </w:tc>
      </w:tr>
      <w:tr>
        <w:tc>
          <w:tcPr>
            <w:tcW w:type="dxa" w:w="2880"/>
            <w:vMerge/>
          </w:tcPr>
          <w:p/>
        </w:tc>
        <w:tc>
          <w:tcPr>
            <w:tcW w:type="dxa" w:w="2880"/>
            <w:vMerge/>
          </w:tcPr>
          <w:p/>
        </w:tc>
        <w:tc>
          <w:tcPr>
            <w:tcW w:type="dxa" w:w="2880"/>
          </w:tcPr>
          <w:p>
            <w:r>
              <w:t>1.4采购人可与投标人就优惠价进行谈判，但优惠价不得高于投标人在投标文件的《零配件、消耗品和延续保修合同报价明清单》中承诺的维修零配件、消耗品和延续保修合同的报价。</w:t>
            </w:r>
          </w:p>
        </w:tc>
      </w:tr>
      <w:tr>
        <w:tc>
          <w:tcPr>
            <w:tcW w:type="dxa" w:w="2880"/>
            <w:vMerge/>
          </w:tcPr>
          <w:p/>
        </w:tc>
        <w:tc>
          <w:tcPr>
            <w:tcW w:type="dxa" w:w="2880"/>
            <w:vMerge/>
          </w:tcPr>
          <w:p/>
        </w:tc>
        <w:tc>
          <w:tcPr>
            <w:tcW w:type="dxa" w:w="2880"/>
          </w:tcPr>
          <w:p>
            <w: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c>
          <w:tcPr>
            <w:tcW w:type="dxa" w:w="8640"/>
            <w:gridSpan w:val="3"/>
          </w:tcPr>
          <w:p>
            <w:r>
              <w:t>（三）其他商务要求</w:t>
            </w:r>
          </w:p>
        </w:tc>
      </w:tr>
      <w:tr>
        <w:tc>
          <w:tcPr>
            <w:tcW w:type="dxa" w:w="2880"/>
            <w:vMerge w:val="restart"/>
          </w:tcPr>
          <w:p>
            <w:r>
              <w:t>2</w:t>
            </w:r>
          </w:p>
        </w:tc>
        <w:tc>
          <w:tcPr>
            <w:tcW w:type="dxa" w:w="2880"/>
            <w:vMerge w:val="restart"/>
          </w:tcPr>
          <w:p>
            <w:r>
              <w:t>运输、安装和验收</w:t>
            </w:r>
          </w:p>
        </w:tc>
        <w:tc>
          <w:tcPr>
            <w:tcW w:type="dxa" w:w="2880"/>
          </w:tcPr>
          <w:p>
            <w:r>
              <w:t>★1.1投标人在签订合同之日起，国产设备60日历日内、进口设备90日历日内交货并安装调试完毕，交付采购人验收。</w:t>
            </w:r>
          </w:p>
        </w:tc>
      </w:tr>
      <w:tr>
        <w:tc>
          <w:tcPr>
            <w:tcW w:type="dxa" w:w="2880"/>
            <w:vMerge/>
          </w:tcPr>
          <w:p/>
        </w:tc>
        <w:tc>
          <w:tcPr>
            <w:tcW w:type="dxa" w:w="2880"/>
            <w:vMerge/>
          </w:tcPr>
          <w:p/>
        </w:tc>
        <w:tc>
          <w:tcPr>
            <w:tcW w:type="dxa" w:w="2880"/>
          </w:tcPr>
          <w:p>
            <w:r>
              <w:t>1.2签订合同后，如涉及机房装修改造，需立即向医院出具机房装修要求的各种资料。</w:t>
            </w:r>
          </w:p>
        </w:tc>
      </w:tr>
      <w:tr>
        <w:tc>
          <w:tcPr>
            <w:tcW w:type="dxa" w:w="2880"/>
            <w:vMerge/>
          </w:tcPr>
          <w:p/>
        </w:tc>
        <w:tc>
          <w:tcPr>
            <w:tcW w:type="dxa" w:w="2880"/>
            <w:vMerge/>
          </w:tcPr>
          <w:p/>
        </w:tc>
        <w:tc>
          <w:tcPr>
            <w:tcW w:type="dxa" w:w="2880"/>
          </w:tcPr>
          <w:p>
            <w: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c>
          <w:tcPr>
            <w:tcW w:type="dxa" w:w="2880"/>
            <w:vMerge/>
          </w:tcPr>
          <w:p/>
        </w:tc>
        <w:tc>
          <w:tcPr>
            <w:tcW w:type="dxa" w:w="2880"/>
            <w:vMerge/>
          </w:tcPr>
          <w:p/>
        </w:tc>
        <w:tc>
          <w:tcPr>
            <w:tcW w:type="dxa" w:w="2880"/>
          </w:tcPr>
          <w:p>
            <w:r>
              <w:t>1.4提供的货物必须为全新、经检验合格的产品。产品如需要计量检定的应提供相关计量检定部门出具的合法检定报告。其中，进口设备必须具有报关证明文件、原产地证明和商检合格证明文件。</w:t>
            </w:r>
          </w:p>
        </w:tc>
      </w:tr>
      <w:tr>
        <w:tc>
          <w:tcPr>
            <w:tcW w:type="dxa" w:w="2880"/>
            <w:vMerge/>
          </w:tcPr>
          <w:p/>
        </w:tc>
        <w:tc>
          <w:tcPr>
            <w:tcW w:type="dxa" w:w="2880"/>
            <w:vMerge/>
          </w:tcPr>
          <w:p/>
        </w:tc>
        <w:tc>
          <w:tcPr>
            <w:tcW w:type="dxa" w:w="2880"/>
          </w:tcPr>
          <w:p>
            <w:r>
              <w:t>1.5如涉及机房装修改造，供应商应提供机房内与安装设备直接相关的器具和部件，包括从配电箱到主机的电缆线，专用导轨吊架和地梁钢结构等设备专用配套配件，采购人仅负责通用要求的放射防护装修。</w:t>
            </w:r>
          </w:p>
        </w:tc>
      </w:tr>
      <w:tr>
        <w:tc>
          <w:tcPr>
            <w:tcW w:type="dxa" w:w="2880"/>
            <w:vMerge/>
          </w:tcPr>
          <w:p/>
        </w:tc>
        <w:tc>
          <w:tcPr>
            <w:tcW w:type="dxa" w:w="2880"/>
            <w:vMerge/>
          </w:tcPr>
          <w:p/>
        </w:tc>
        <w:tc>
          <w:tcPr>
            <w:tcW w:type="dxa" w:w="2880"/>
          </w:tcPr>
          <w:p>
            <w:r>
              <w:t>2.1投标人负责将货物安全无损运抵采购人指定地点,并承担设备的包装、运输、保险、装卸、安装调试、培训、商检及计量检测、关税、增值税和进口代理等费用。</w:t>
            </w:r>
          </w:p>
        </w:tc>
      </w:tr>
      <w:tr>
        <w:tc>
          <w:tcPr>
            <w:tcW w:type="dxa" w:w="2880"/>
            <w:vMerge/>
          </w:tcPr>
          <w:p/>
        </w:tc>
        <w:tc>
          <w:tcPr>
            <w:tcW w:type="dxa" w:w="2880"/>
            <w:vMerge/>
          </w:tcPr>
          <w:p/>
        </w:tc>
        <w:tc>
          <w:tcPr>
            <w:tcW w:type="dxa" w:w="2880"/>
          </w:tcPr>
          <w:p>
            <w:r>
              <w:t>2.2采购人有权检验或测试货物，以确认货物是否符合合同规格的要求，并且不承担额外的费用。如果发现所交货物与投标文件中所承诺的不符或存在质量、技术缺陷等,采购人可以拒绝接收该货物,投标人应在 7 天内采取补足、更换或退货等措施,以满足规格的要求，由此发生的一切损失和费用由投标人承担。</w:t>
            </w:r>
          </w:p>
        </w:tc>
      </w:tr>
      <w:tr>
        <w:tc>
          <w:tcPr>
            <w:tcW w:type="dxa" w:w="2880"/>
            <w:vMerge/>
          </w:tcPr>
          <w:p/>
        </w:tc>
        <w:tc>
          <w:tcPr>
            <w:tcW w:type="dxa" w:w="2880"/>
            <w:vMerge/>
          </w:tcPr>
          <w:p/>
        </w:tc>
        <w:tc>
          <w:tcPr>
            <w:tcW w:type="dxa" w:w="2880"/>
          </w:tcPr>
          <w:p>
            <w: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 5 天内安装调试完毕。</w:t>
            </w:r>
          </w:p>
        </w:tc>
      </w:tr>
      <w:tr>
        <w:tc>
          <w:tcPr>
            <w:tcW w:type="dxa" w:w="2880"/>
            <w:vMerge/>
          </w:tcPr>
          <w:p/>
        </w:tc>
        <w:tc>
          <w:tcPr>
            <w:tcW w:type="dxa" w:w="2880"/>
            <w:vMerge/>
          </w:tcPr>
          <w:p/>
        </w:tc>
        <w:tc>
          <w:tcPr>
            <w:tcW w:type="dxa" w:w="2880"/>
          </w:tcPr>
          <w:p>
            <w:r>
              <w:t>2.4由投标人代表和采购人组成验收小组对产品进行验收。验收标准按照国家规定标准执行。经检验设备正常运作后签署验收报告,产品保修期自验收合格之日起算。</w:t>
            </w:r>
          </w:p>
        </w:tc>
      </w:tr>
      <w:tr>
        <w:tc>
          <w:tcPr>
            <w:tcW w:type="dxa" w:w="2880"/>
            <w:vMerge/>
          </w:tcPr>
          <w:p/>
        </w:tc>
        <w:tc>
          <w:tcPr>
            <w:tcW w:type="dxa" w:w="2880"/>
            <w:vMerge/>
          </w:tcPr>
          <w:p/>
        </w:tc>
        <w:tc>
          <w:tcPr>
            <w:tcW w:type="dxa" w:w="2880"/>
          </w:tcPr>
          <w:p>
            <w:r>
              <w:t>2.5设备安装过程中不得损坏安装场地内已有设备、器具和装修等物品，如有损坏，投标人应无条件恢复原状, 针对无法修复的投标人应当赔偿采购人的损失。</w:t>
            </w:r>
          </w:p>
        </w:tc>
      </w:tr>
      <w:tr>
        <w:tc>
          <w:tcPr>
            <w:tcW w:type="dxa" w:w="2880"/>
            <w:vMerge/>
          </w:tcPr>
          <w:p/>
        </w:tc>
        <w:tc>
          <w:tcPr>
            <w:tcW w:type="dxa" w:w="2880"/>
            <w:vMerge/>
          </w:tcPr>
          <w:p/>
        </w:tc>
        <w:tc>
          <w:tcPr>
            <w:tcW w:type="dxa" w:w="2880"/>
          </w:tcPr>
          <w:p>
            <w:r>
              <w:t>2.6如安装过程需要吊装、搬运工人超过 3 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tc>
          <w:tcPr>
            <w:tcW w:type="dxa" w:w="2880"/>
            <w:vMerge/>
          </w:tcPr>
          <w:p/>
        </w:tc>
        <w:tc>
          <w:tcPr>
            <w:tcW w:type="dxa" w:w="2880"/>
            <w:vMerge/>
          </w:tcPr>
          <w:p/>
        </w:tc>
        <w:tc>
          <w:tcPr>
            <w:tcW w:type="dxa" w:w="2880"/>
          </w:tcPr>
          <w:p>
            <w:r>
              <w:t>2.7医疗设备的包装箱使用后由中标（成交）供应商负责处理。</w:t>
            </w:r>
          </w:p>
        </w:tc>
      </w:tr>
      <w:tr>
        <w:tc>
          <w:tcPr>
            <w:tcW w:type="dxa" w:w="2880"/>
            <w:vMerge/>
          </w:tcPr>
          <w:p/>
        </w:tc>
        <w:tc>
          <w:tcPr>
            <w:tcW w:type="dxa" w:w="2880"/>
            <w:vMerge/>
          </w:tcPr>
          <w:p/>
        </w:tc>
        <w:tc>
          <w:tcPr>
            <w:tcW w:type="dxa" w:w="2880"/>
          </w:tcPr>
          <w:p>
            <w:r>
              <w:t>2.8废气排放、排污等接口无条件改造为医院已有标准和制式。</w:t>
            </w:r>
          </w:p>
        </w:tc>
      </w:tr>
      <w:tr>
        <w:tc>
          <w:tcPr>
            <w:tcW w:type="dxa" w:w="2880"/>
          </w:tcPr>
          <w:p>
            <w:r>
              <w:t>3</w:t>
            </w:r>
          </w:p>
        </w:tc>
        <w:tc>
          <w:tcPr>
            <w:tcW w:type="dxa" w:w="2880"/>
          </w:tcPr>
          <w:p>
            <w:r>
              <w:t>培训</w:t>
            </w:r>
          </w:p>
        </w:tc>
        <w:tc>
          <w:tcPr>
            <w:tcW w:type="dxa" w:w="2880"/>
          </w:tcPr>
          <w:p>
            <w: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tc>
          <w:tcPr>
            <w:tcW w:type="dxa" w:w="2880"/>
            <w:vMerge w:val="restart"/>
          </w:tcPr>
          <w:p>
            <w:r>
              <w:t>4</w:t>
            </w:r>
          </w:p>
        </w:tc>
        <w:tc>
          <w:tcPr>
            <w:tcW w:type="dxa" w:w="2880"/>
            <w:vMerge w:val="restart"/>
          </w:tcPr>
          <w:p>
            <w:r>
              <w:t>知识产权</w:t>
            </w:r>
          </w:p>
        </w:tc>
        <w:tc>
          <w:tcPr>
            <w:tcW w:type="dxa" w:w="2880"/>
          </w:tcPr>
          <w:p>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c>
          <w:tcPr>
            <w:tcW w:type="dxa" w:w="2880"/>
            <w:vMerge/>
          </w:tcPr>
          <w:p/>
        </w:tc>
        <w:tc>
          <w:tcPr>
            <w:tcW w:type="dxa" w:w="2880"/>
            <w:vMerge/>
          </w:tcPr>
          <w:p/>
        </w:tc>
        <w:tc>
          <w:tcPr>
            <w:tcW w:type="dxa" w:w="2880"/>
          </w:tcPr>
          <w:p>
            <w:r>
              <w:t>4.2采购人购买产品后，有权对该产品与其他设备进行配套、整合或适当改进，而免受侵犯专利权的起诉。</w:t>
            </w:r>
          </w:p>
        </w:tc>
      </w:tr>
      <w:tr>
        <w:tc>
          <w:tcPr>
            <w:tcW w:type="dxa" w:w="2880"/>
          </w:tcPr>
          <w:p>
            <w:r>
              <w:t>5</w:t>
            </w:r>
          </w:p>
        </w:tc>
        <w:tc>
          <w:tcPr>
            <w:tcW w:type="dxa" w:w="2880"/>
          </w:tcPr>
          <w:p>
            <w:r>
              <w:t>付款方式</w:t>
            </w:r>
          </w:p>
        </w:tc>
        <w:tc>
          <w:tcPr>
            <w:tcW w:type="dxa" w:w="2880"/>
          </w:tcPr>
          <w:p>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c>
          <w:tcPr>
            <w:tcW w:type="dxa" w:w="2880"/>
            <w:vMerge w:val="restart"/>
          </w:tcPr>
          <w:p>
            <w:r>
              <w:t>6</w:t>
            </w:r>
          </w:p>
        </w:tc>
        <w:tc>
          <w:tcPr>
            <w:tcW w:type="dxa" w:w="2880"/>
            <w:vMerge w:val="restart"/>
          </w:tcPr>
          <w:p>
            <w:r>
              <w:t>违约责任</w:t>
            </w:r>
          </w:p>
        </w:tc>
        <w:tc>
          <w:tcPr>
            <w:tcW w:type="dxa" w:w="2880"/>
          </w:tcPr>
          <w:p>
            <w:r>
              <w:t>6.1中标人不能交货的，需偿付不能交货部分货款的  10% 的违约金并按主管部门相关规定处理。</w:t>
            </w:r>
          </w:p>
        </w:tc>
      </w:tr>
      <w:tr>
        <w:tc>
          <w:tcPr>
            <w:tcW w:type="dxa" w:w="2880"/>
            <w:vMerge/>
          </w:tcPr>
          <w:p/>
        </w:tc>
        <w:tc>
          <w:tcPr>
            <w:tcW w:type="dxa" w:w="2880"/>
            <w:vMerge/>
          </w:tcPr>
          <w:p/>
        </w:tc>
        <w:tc>
          <w:tcPr>
            <w:tcW w:type="dxa" w:w="2880"/>
          </w:tcPr>
          <w:p>
            <w:r>
              <w:t>6.2中标人逾期交货的，将被没收履约保证金并按主管部门相关规定处理。</w:t>
            </w:r>
          </w:p>
        </w:tc>
      </w:tr>
      <w:tr>
        <w:tc>
          <w:tcPr>
            <w:tcW w:type="dxa" w:w="2880"/>
            <w:vMerge/>
          </w:tcPr>
          <w:p/>
        </w:tc>
        <w:tc>
          <w:tcPr>
            <w:tcW w:type="dxa" w:w="2880"/>
            <w:vMerge/>
          </w:tcPr>
          <w:p/>
        </w:tc>
        <w:tc>
          <w:tcPr>
            <w:tcW w:type="dxa" w:w="2880"/>
          </w:tcPr>
          <w:p>
            <w: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c>
          <w:tcPr>
            <w:tcW w:type="dxa" w:w="2880"/>
          </w:tcPr>
          <w:p>
            <w:r>
              <w:t>7</w:t>
            </w:r>
          </w:p>
        </w:tc>
        <w:tc>
          <w:tcPr>
            <w:tcW w:type="dxa" w:w="2880"/>
          </w:tcPr>
          <w:p>
            <w:r>
              <w:t>数据接口要求</w:t>
            </w:r>
          </w:p>
        </w:tc>
        <w:tc>
          <w:tcPr>
            <w:tcW w:type="dxa" w:w="2880"/>
          </w:tcPr>
          <w:p>
            <w:r>
              <w:t>7.1中标（成交）供应商应无偿配合医院信息科将设备连接到信息系统中，连接信息系统过程中如需产生费用则由其承担。中标（成交）供应商不能向医院信息系统如HIS、PACS、LIS等提出另行支付接口费等费用。</w:t>
            </w:r>
          </w:p>
        </w:tc>
      </w:tr>
      <w:tr>
        <w:tc>
          <w:tcPr>
            <w:tcW w:type="dxa" w:w="2880"/>
          </w:tcPr>
          <w:p>
            <w:r>
              <w:t>8</w:t>
            </w:r>
          </w:p>
        </w:tc>
        <w:tc>
          <w:tcPr>
            <w:tcW w:type="dxa" w:w="2880"/>
          </w:tcPr>
          <w:p>
            <w:r>
              <w:t>其他</w:t>
            </w:r>
          </w:p>
        </w:tc>
        <w:tc>
          <w:tcPr>
            <w:tcW w:type="dxa" w:w="2880"/>
          </w:tcPr>
          <w:p>
            <w:r>
              <w:t>8.1投标人应按其投标文件中的承诺，进行其他售后服务工作。</w:t>
            </w:r>
          </w:p>
        </w:tc>
      </w:tr>
    </w:tbl>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