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一、具体技术要求</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0"/>
        <w:gridCol w:w="216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after="0" w:line="240" w:lineRule="auto"/>
            </w:pPr>
            <w:r>
              <w:t>货物名称</w:t>
            </w:r>
          </w:p>
        </w:tc>
        <w:tc>
          <w:tcPr>
            <w:tcW w:w="6480" w:type="dxa"/>
            <w:gridSpan w:val="3"/>
          </w:tcPr>
          <w:p>
            <w:pPr>
              <w:spacing w:after="0" w:line="240" w:lineRule="auto"/>
            </w:pPr>
            <w: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after="0" w:line="240" w:lineRule="auto"/>
            </w:pPr>
            <w:r>
              <w:t>总体要求</w:t>
            </w:r>
          </w:p>
        </w:tc>
        <w:tc>
          <w:tcPr>
            <w:tcW w:w="6480" w:type="dxa"/>
            <w:gridSpan w:val="3"/>
          </w:tcPr>
          <w:p>
            <w:pPr>
              <w:spacing w:after="0" w:line="240" w:lineRule="auto"/>
            </w:pPr>
            <w:r>
              <w:t>一、技术参数：</w:t>
            </w:r>
            <w:r>
              <w:tab/>
            </w:r>
            <w:r>
              <w:br w:type="textWrapping"/>
            </w:r>
            <w:r>
              <w:br w:type="textWrapping"/>
            </w:r>
            <w:r>
              <w:rPr>
                <w:rFonts w:hint="eastAsia"/>
              </w:rPr>
              <w:t>▲</w:t>
            </w:r>
            <w:r>
              <w:t>1.马达类型：无碳刷，内水道设计</w:t>
            </w:r>
            <w:r>
              <w:br w:type="textWrapping"/>
            </w:r>
            <w:r>
              <w:br w:type="textWrapping"/>
            </w:r>
            <w:r>
              <w:t>2.转速范围：1,000-40,000 rpm</w:t>
            </w:r>
            <w:r>
              <w:br w:type="textWrapping"/>
            </w:r>
            <w:r>
              <w:br w:type="textWrapping"/>
            </w:r>
            <w:r>
              <w:t>3.最大扭矩：2.0 Ncm</w:t>
            </w:r>
            <w:r>
              <w:br w:type="textWrapping"/>
            </w:r>
            <w:r>
              <w:br w:type="textWrapping"/>
            </w:r>
            <w:r>
              <w:rPr>
                <w:rFonts w:hint="eastAsia"/>
              </w:rPr>
              <w:t>▲</w:t>
            </w:r>
            <w:r>
              <w:t>4.效率要求：电马达启动后能迅速达到预设扭矩值（必须提供数据或图示说明）</w:t>
            </w:r>
            <w:r>
              <w:br w:type="textWrapping"/>
            </w:r>
            <w:r>
              <w:br w:type="textWrapping"/>
            </w:r>
            <w:r>
              <w:rPr>
                <w:rFonts w:hint="eastAsia"/>
              </w:rPr>
              <w:t>▲</w:t>
            </w:r>
            <w:r>
              <w:t>5.稳定性要求：电马达工作过程中在转数增长的过程中能持续保持稳定的扭矩（必须提供对比图示说明）</w:t>
            </w:r>
            <w:r>
              <w:br w:type="textWrapping"/>
            </w:r>
            <w:r>
              <w:br w:type="textWrapping"/>
            </w:r>
            <w:r>
              <w:rPr>
                <w:rFonts w:hint="eastAsia"/>
              </w:rPr>
              <w:t>▲</w:t>
            </w:r>
            <w:r>
              <w:t>6.速度：可调，并可设定转速值</w:t>
            </w:r>
            <w:r>
              <w:br w:type="textWrapping"/>
            </w:r>
            <w:r>
              <w:br w:type="textWrapping"/>
            </w:r>
            <w:r>
              <w:t>7.操作：可正/反双向操作</w:t>
            </w:r>
            <w:r>
              <w:br w:type="textWrapping"/>
            </w:r>
            <w:r>
              <w:br w:type="textWrapping"/>
            </w:r>
            <w:r>
              <w:rPr>
                <w:rFonts w:hint="eastAsia"/>
              </w:rPr>
              <w:t>▲</w:t>
            </w:r>
            <w:r>
              <w:t>8.马达尺寸：小于22mm*43mm</w:t>
            </w:r>
            <w:r>
              <w:br w:type="textWrapping"/>
            </w:r>
            <w:r>
              <w:br w:type="textWrapping"/>
            </w:r>
            <w:r>
              <w:t>9.马达重量：小于80g</w:t>
            </w:r>
            <w:r>
              <w:br w:type="textWrapping"/>
            </w:r>
            <w:r>
              <w:br w:type="textWrapping"/>
            </w:r>
            <w:r>
              <w:rPr>
                <w:rFonts w:hint="eastAsia"/>
              </w:rPr>
              <w:t>▲</w:t>
            </w:r>
            <w:r>
              <w:t>10.材质：具有镀金触点，出色导电性能，抗氧化</w:t>
            </w:r>
            <w:r>
              <w:br w:type="textWrapping"/>
            </w:r>
            <w:r>
              <w:br w:type="textWrapping"/>
            </w:r>
            <w:r>
              <w:t>11.灯光：采用LED光源</w:t>
            </w:r>
            <w:r>
              <w:br w:type="textWrapping"/>
            </w:r>
            <w:r>
              <w:br w:type="textWrapping"/>
            </w:r>
            <w:r>
              <w:t>12.消毒：可以135度高温高压消毒</w:t>
            </w:r>
            <w:r>
              <w:br w:type="textWrapping"/>
            </w:r>
            <w:r>
              <w:br w:type="textWrapping"/>
            </w:r>
            <w:r>
              <w:rPr>
                <w:rFonts w:hint="eastAsia"/>
              </w:rPr>
              <w:t>▲</w:t>
            </w:r>
            <w:r>
              <w:t>13.滚珠轴承：要求轴承终身免维护</w:t>
            </w:r>
            <w:r>
              <w:br w:type="textWrapping"/>
            </w:r>
            <w:r>
              <w:br w:type="textWrapping"/>
            </w:r>
            <w:r>
              <w:rPr>
                <w:rFonts w:hint="eastAsia"/>
              </w:rPr>
              <w:t>▲</w:t>
            </w:r>
            <w:r>
              <w:t>14.马达质保：1年</w:t>
            </w:r>
            <w:r>
              <w:br w:type="textWrapping"/>
            </w:r>
            <w:r>
              <w:br w:type="textWrapping"/>
            </w:r>
            <w:r>
              <w:rPr>
                <w:rFonts w:hint="eastAsia"/>
              </w:rPr>
              <w:t>▲</w:t>
            </w:r>
            <w:r>
              <w:t>15.主机尺寸：小于130mm*145mm*76mm</w:t>
            </w:r>
            <w:r>
              <w:br w:type="textWrapping"/>
            </w:r>
            <w:r>
              <w:br w:type="textWrapping"/>
            </w:r>
            <w:r>
              <w:t>16.主机重量：&lt;0.7kg(不含马达及管线)</w:t>
            </w:r>
            <w:r>
              <w:br w:type="textWrapping"/>
            </w:r>
            <w:r>
              <w:br w:type="textWrapping"/>
            </w:r>
            <w:r>
              <w:t>17.电压：100-240V</w:t>
            </w:r>
            <w:r>
              <w:br w:type="textWrapping"/>
            </w:r>
            <w:r>
              <w:br w:type="textWrapping"/>
            </w:r>
            <w:r>
              <w:t>18.频率：47-63Hz</w:t>
            </w:r>
            <w:r>
              <w:br w:type="textWrapping"/>
            </w:r>
            <w:r>
              <w:br w:type="textWrapping"/>
            </w:r>
            <w:r>
              <w:br w:type="textWrapping"/>
            </w:r>
            <w:r>
              <w:br w:type="textWrapping"/>
            </w:r>
            <w:r>
              <w:tab/>
            </w:r>
            <w:r>
              <w:tab/>
            </w:r>
            <w:r>
              <w:tab/>
            </w:r>
            <w:r>
              <w:br w:type="textWrapping"/>
            </w:r>
            <w:r>
              <w:br w:type="textWrapping"/>
            </w:r>
            <w:r>
              <w:t>二、设备配置要求：</w:t>
            </w:r>
            <w:r>
              <w:tab/>
            </w:r>
            <w:r>
              <w:br w:type="textWrapping"/>
            </w:r>
            <w:r>
              <w:br w:type="textWrapping"/>
            </w:r>
            <w:r>
              <w:t xml:space="preserve">1.主机1台 </w:t>
            </w:r>
            <w:r>
              <w:br w:type="textWrapping"/>
            </w:r>
            <w:r>
              <w:br w:type="textWrapping"/>
            </w:r>
            <w:r>
              <w:t xml:space="preserve">2.原装进口电动马达连接管线1条               </w:t>
            </w:r>
            <w:r>
              <w:br w:type="textWrapping"/>
            </w:r>
            <w:r>
              <w:br w:type="textWrapping"/>
            </w:r>
            <w:r>
              <w:t xml:space="preserve">3.原装进口电动马达1支                    </w:t>
            </w:r>
            <w:r>
              <w:br w:type="textWrapping"/>
            </w:r>
            <w:r>
              <w:br w:type="textWrapping"/>
            </w:r>
            <w:r>
              <w:t xml:space="preserve">4.原装进口1:5L光纤增速弯手机1支  </w:t>
            </w:r>
            <w:r>
              <w:br w:type="textWrapping"/>
            </w:r>
            <w:r>
              <w:br w:type="textWrapping"/>
            </w:r>
            <w:r>
              <w:rPr>
                <w:rFonts w:hint="eastAsia"/>
              </w:rPr>
              <w:t>▲</w:t>
            </w:r>
            <w:r>
              <w:t xml:space="preserve">5.固定底板                </w:t>
            </w:r>
            <w:r>
              <w:br w:type="textWrapping"/>
            </w:r>
            <w: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gridSpan w:val="4"/>
          </w:tcPr>
          <w:p>
            <w:pPr>
              <w:spacing w:after="0" w:line="240" w:lineRule="auto"/>
            </w:pPr>
            <w:r>
              <w:t>配置清单 (注：配置清单需明确数量、单位、且不可涉及产地品牌型号等)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after="0" w:line="240" w:lineRule="auto"/>
            </w:pPr>
            <w:r>
              <w:t>序号</w:t>
            </w:r>
          </w:p>
        </w:tc>
        <w:tc>
          <w:tcPr>
            <w:tcW w:w="2160" w:type="dxa"/>
          </w:tcPr>
          <w:p>
            <w:pPr>
              <w:spacing w:after="0" w:line="240" w:lineRule="auto"/>
            </w:pPr>
            <w:r>
              <w:t>名称</w:t>
            </w:r>
          </w:p>
        </w:tc>
        <w:tc>
          <w:tcPr>
            <w:tcW w:w="2160" w:type="dxa"/>
          </w:tcPr>
          <w:p>
            <w:pPr>
              <w:spacing w:after="0" w:line="240" w:lineRule="auto"/>
            </w:pPr>
            <w:r>
              <w:t>单位</w:t>
            </w:r>
          </w:p>
        </w:tc>
        <w:tc>
          <w:tcPr>
            <w:tcW w:w="2160" w:type="dxa"/>
          </w:tcPr>
          <w:p>
            <w:pPr>
              <w:spacing w:after="0" w:line="240" w:lineRule="auto"/>
            </w:pPr>
            <w: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after="0" w:line="240" w:lineRule="auto"/>
            </w:pPr>
            <w:r>
              <w:t>1</w:t>
            </w:r>
          </w:p>
        </w:tc>
        <w:tc>
          <w:tcPr>
            <w:tcW w:w="2160" w:type="dxa"/>
          </w:tcPr>
          <w:p>
            <w:pPr>
              <w:spacing w:after="0" w:line="240" w:lineRule="auto"/>
            </w:pPr>
            <w:r>
              <w:t>主机1台 （详见）</w:t>
            </w:r>
          </w:p>
        </w:tc>
        <w:tc>
          <w:tcPr>
            <w:tcW w:w="2160" w:type="dxa"/>
          </w:tcPr>
          <w:p>
            <w:pPr>
              <w:spacing w:after="0" w:line="240" w:lineRule="auto"/>
            </w:pPr>
            <w:r>
              <w:t>台</w:t>
            </w:r>
          </w:p>
        </w:tc>
        <w:tc>
          <w:tcPr>
            <w:tcW w:w="2160" w:type="dxa"/>
          </w:tcPr>
          <w:p>
            <w:pPr>
              <w:spacing w:after="0" w:line="240" w:lineRule="auto"/>
            </w:pPr>
            <w:r>
              <w:t>1</w:t>
            </w:r>
          </w:p>
        </w:tc>
      </w:tr>
    </w:tbl>
    <w:p>
      <w:r>
        <w:t>二、商务条款</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0"/>
        <w:gridCol w:w="216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after="0" w:line="240" w:lineRule="auto"/>
            </w:pPr>
            <w:r>
              <w:t>序号</w:t>
            </w:r>
          </w:p>
        </w:tc>
        <w:tc>
          <w:tcPr>
            <w:tcW w:w="2160" w:type="dxa"/>
          </w:tcPr>
          <w:p>
            <w:pPr>
              <w:spacing w:after="0" w:line="240" w:lineRule="auto"/>
            </w:pPr>
            <w:r>
              <w:t>目录</w:t>
            </w:r>
          </w:p>
        </w:tc>
        <w:tc>
          <w:tcPr>
            <w:tcW w:w="4320" w:type="dxa"/>
            <w:gridSpan w:val="2"/>
          </w:tcPr>
          <w:p>
            <w:pPr>
              <w:spacing w:after="0" w:line="240" w:lineRule="auto"/>
            </w:pPr>
            <w: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gridSpan w:val="4"/>
          </w:tcPr>
          <w:p>
            <w:pPr>
              <w:spacing w:after="0" w:line="240" w:lineRule="auto"/>
            </w:pPr>
            <w: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restart"/>
          </w:tcPr>
          <w:p>
            <w:pPr>
              <w:spacing w:after="0" w:line="240" w:lineRule="auto"/>
            </w:pPr>
            <w:r>
              <w:t>1</w:t>
            </w:r>
          </w:p>
        </w:tc>
        <w:tc>
          <w:tcPr>
            <w:tcW w:w="2160" w:type="dxa"/>
            <w:vMerge w:val="restart"/>
          </w:tcPr>
          <w:p>
            <w:pPr>
              <w:spacing w:after="0" w:line="240" w:lineRule="auto"/>
            </w:pPr>
            <w:r>
              <w:t>维修及维护服务</w:t>
            </w:r>
          </w:p>
        </w:tc>
        <w:tc>
          <w:tcPr>
            <w:tcW w:w="4320" w:type="dxa"/>
            <w:gridSpan w:val="2"/>
          </w:tcPr>
          <w:p>
            <w:pPr>
              <w:spacing w:after="0" w:line="240" w:lineRule="auto"/>
            </w:pPr>
            <w:r>
              <w:t xml:space="preserve">★1.1所投货物（含标准配置及可选配件）免费保修期 </w:t>
            </w:r>
            <w:r>
              <w:rPr>
                <w:rFonts w:hint="eastAsia"/>
                <w:lang w:val="en-US" w:eastAsia="zh-CN"/>
              </w:rPr>
              <w:t>3</w:t>
            </w:r>
            <w:r>
              <w:t xml:space="preserve"> 年,时间自最终验收合格并交付使用之日（以医院出库单为准）起计算。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 xml:space="preserve">1.2免费保修期内,年度定期预防性维护保养次数应不少于 </w:t>
            </w:r>
            <w:r>
              <w:rPr>
                <w:rFonts w:hint="eastAsia"/>
                <w:lang w:val="en-US" w:eastAsia="zh-CN"/>
              </w:rPr>
              <w:t>4</w:t>
            </w:r>
            <w:bookmarkStart w:id="0" w:name="_GoBack"/>
            <w:bookmarkEnd w:id="0"/>
            <w:r>
              <w:t xml:space="preserve"> 次。保修期内免费更换零配件、免工时费。每次上门维护保养后应提供对应服务工单。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1.3所投货物（含标准配置及可选配件）一个月内，由于产品本身质量问题或设计缺陷导致的故障，供应商无条件更换。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gridSpan w:val="4"/>
          </w:tcPr>
          <w:p>
            <w:pPr>
              <w:spacing w:after="0" w:line="240" w:lineRule="auto"/>
            </w:pPr>
            <w: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restart"/>
          </w:tcPr>
          <w:p>
            <w:pPr>
              <w:spacing w:after="0" w:line="240" w:lineRule="auto"/>
            </w:pPr>
            <w:r>
              <w:t>1</w:t>
            </w:r>
          </w:p>
        </w:tc>
        <w:tc>
          <w:tcPr>
            <w:tcW w:w="2160" w:type="dxa"/>
            <w:vMerge w:val="restart"/>
          </w:tcPr>
          <w:p>
            <w:pPr>
              <w:spacing w:after="0" w:line="240" w:lineRule="auto"/>
            </w:pPr>
            <w:r>
              <w:t>服务内容及要求</w:t>
            </w:r>
          </w:p>
        </w:tc>
        <w:tc>
          <w:tcPr>
            <w:tcW w:w="4320" w:type="dxa"/>
            <w:gridSpan w:val="2"/>
          </w:tcPr>
          <w:p>
            <w:pPr>
              <w:spacing w:after="0" w:line="240" w:lineRule="auto"/>
            </w:pPr>
            <w:r>
              <w:t>★1.1保证免费保修期满后 5 年以上供应维修配件，合同的报价明细必须填写于《零配件、消耗品》中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1.2维修的货物经采购人验收合格，且设备制造商提供维修专用发票后，采购人支付维修费用。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1.3采购人可与投标人就优惠价进行谈判，但优惠价不得高于投标人在投标文件的《零配件、消耗品和延续保修合同报价明清单》中承诺的维修零配件、消耗品和延续保修合同的报价。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1.4投标人及设备制造商不得以任何理由不按时进行维修，不得要求采购人购买所谓“保修服务”（即：不论设备有无故障先买保修服务），不得在设备中嵌设任何不利于采购人使用与维修设备的障碍。在规定的设备使用寿命期限内保证相关配件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gridSpan w:val="4"/>
          </w:tcPr>
          <w:p>
            <w:pPr>
              <w:spacing w:after="0" w:line="240" w:lineRule="auto"/>
            </w:pPr>
            <w: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restart"/>
          </w:tcPr>
          <w:p>
            <w:pPr>
              <w:spacing w:after="0" w:line="240" w:lineRule="auto"/>
            </w:pPr>
            <w:r>
              <w:t>1</w:t>
            </w:r>
          </w:p>
        </w:tc>
        <w:tc>
          <w:tcPr>
            <w:tcW w:w="2160" w:type="dxa"/>
            <w:vMerge w:val="restart"/>
          </w:tcPr>
          <w:p>
            <w:pPr>
              <w:spacing w:after="0" w:line="240" w:lineRule="auto"/>
            </w:pPr>
            <w:r>
              <w:t>交货要求</w:t>
            </w:r>
          </w:p>
        </w:tc>
        <w:tc>
          <w:tcPr>
            <w:tcW w:w="4320" w:type="dxa"/>
            <w:gridSpan w:val="2"/>
          </w:tcPr>
          <w:p>
            <w:pPr>
              <w:spacing w:after="0" w:line="240" w:lineRule="auto"/>
            </w:pPr>
            <w:r>
              <w:t>★1.1投标人在签订合同之日起,国产设备60日历日内、进口设备90日历日内交货并安装调试完毕，交付采购人验收。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1.2提供的货物必须为全新、经检验合格的产品。产品如需要计量检定的应提供相关计量检定部门出具的合法检定报告。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restart"/>
          </w:tcPr>
          <w:p>
            <w:pPr>
              <w:spacing w:after="0" w:line="240" w:lineRule="auto"/>
            </w:pPr>
            <w:r>
              <w:t>2</w:t>
            </w:r>
          </w:p>
        </w:tc>
        <w:tc>
          <w:tcPr>
            <w:tcW w:w="2160" w:type="dxa"/>
            <w:vMerge w:val="restart"/>
          </w:tcPr>
          <w:p>
            <w:pPr>
              <w:spacing w:after="0" w:line="240" w:lineRule="auto"/>
            </w:pPr>
            <w:r>
              <w:t>运输、安装和验收</w:t>
            </w:r>
          </w:p>
        </w:tc>
        <w:tc>
          <w:tcPr>
            <w:tcW w:w="4320" w:type="dxa"/>
            <w:gridSpan w:val="2"/>
          </w:tcPr>
          <w:p>
            <w:pPr>
              <w:spacing w:after="0" w:line="240" w:lineRule="auto"/>
            </w:pPr>
            <w:r>
              <w:t xml:space="preserve">  2.1投标人负责将货物安全无损运抵采购人指定地点,并承担设备的包装、运输、保险、装卸、安装调试、培训、商检及计量检测、关税、增值税和进口代理等费用。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2.2采购人有权检验或测试货物，以确认货物是否符合合同规格的要求，并且不承担额外的费用。如果发现所交货物与投标文件中所承诺的不符或存在质量、技术缺陷等,采购人可以拒绝接收该货物,投标人应在 7天内采取补足、更换或退货等措施,以满足规格的要求，由此发生的一切损失和费用由投标人承担。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2.3设备安装过程中不得损坏安装场地内已有设备、器具和装修等物品，如有损坏，投标人应无条件恢复原状, 针对无法修复的投标人应当赔偿采购人的损失。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2.4医疗设备的包装箱使用后由中标（成交）供应商负责处理。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2.5废气排放、排污等接口无条件改造为医院已有标准和制式。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after="0" w:line="240" w:lineRule="auto"/>
            </w:pPr>
            <w:r>
              <w:t>3</w:t>
            </w:r>
          </w:p>
        </w:tc>
        <w:tc>
          <w:tcPr>
            <w:tcW w:w="2160" w:type="dxa"/>
          </w:tcPr>
          <w:p>
            <w:pPr>
              <w:spacing w:after="0" w:line="240" w:lineRule="auto"/>
            </w:pPr>
            <w:r>
              <w:t>培训</w:t>
            </w:r>
          </w:p>
        </w:tc>
        <w:tc>
          <w:tcPr>
            <w:tcW w:w="4320" w:type="dxa"/>
            <w:gridSpan w:val="2"/>
          </w:tcPr>
          <w:p>
            <w:pPr>
              <w:spacing w:after="0" w:line="240" w:lineRule="auto"/>
            </w:pPr>
            <w:r>
              <w:t>3.1中标人应派专业技术人员免费对采购单位指定人员进行定期培训及指导，直至其完全掌握设备的基本故障处理技术。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restart"/>
          </w:tcPr>
          <w:p>
            <w:pPr>
              <w:spacing w:after="0" w:line="240" w:lineRule="auto"/>
            </w:pPr>
            <w:r>
              <w:t>4</w:t>
            </w:r>
          </w:p>
        </w:tc>
        <w:tc>
          <w:tcPr>
            <w:tcW w:w="2160" w:type="dxa"/>
            <w:vMerge w:val="restart"/>
          </w:tcPr>
          <w:p>
            <w:pPr>
              <w:spacing w:after="0" w:line="240" w:lineRule="auto"/>
            </w:pPr>
            <w:r>
              <w:t>知识产权</w:t>
            </w:r>
          </w:p>
        </w:tc>
        <w:tc>
          <w:tcPr>
            <w:tcW w:w="4320" w:type="dxa"/>
            <w:gridSpan w:val="2"/>
          </w:tcPr>
          <w:p>
            <w:pPr>
              <w:spacing w:after="0" w:line="240" w:lineRule="auto"/>
            </w:pPr>
            <w: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4.2采购人购买产品后，有权对该产品与其他设备进行配套、整合或适当改进，而免受侵犯专利权的起诉。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restart"/>
          </w:tcPr>
          <w:p>
            <w:pPr>
              <w:spacing w:after="0" w:line="240" w:lineRule="auto"/>
            </w:pPr>
            <w:r>
              <w:t>5</w:t>
            </w:r>
          </w:p>
        </w:tc>
        <w:tc>
          <w:tcPr>
            <w:tcW w:w="2160" w:type="dxa"/>
            <w:vMerge w:val="restart"/>
          </w:tcPr>
          <w:p>
            <w:pPr>
              <w:spacing w:after="0" w:line="240" w:lineRule="auto"/>
            </w:pPr>
            <w:r>
              <w:t>付款方式</w:t>
            </w:r>
          </w:p>
        </w:tc>
        <w:tc>
          <w:tcPr>
            <w:tcW w:w="2160" w:type="dxa"/>
            <w:vMerge w:val="restart"/>
          </w:tcPr>
          <w:p>
            <w:pPr>
              <w:spacing w:after="0" w:line="240" w:lineRule="auto"/>
            </w:pPr>
            <w:r>
              <w:t>合同金额三万元以上</w:t>
            </w:r>
          </w:p>
        </w:tc>
        <w:tc>
          <w:tcPr>
            <w:tcW w:w="2160" w:type="dxa"/>
          </w:tcPr>
          <w:p>
            <w:pPr>
              <w:spacing w:after="0" w:line="240" w:lineRule="auto"/>
            </w:pPr>
            <w:r>
              <w:t>5.1产品安装、调试完毕并经过甲方验收合格后5日内，乙方需支付合同总金额的5%作为质保金到甲方指定账户；货到指定地点、验收合格并提供全额发票办理入库之日起三个月内，甲方向乙方支付全款；免费保修期满后，经采购人确认产品质量无问题及售后服务达标后，甲方无息返还乙方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2160" w:type="dxa"/>
            <w:vMerge w:val="continue"/>
          </w:tcPr>
          <w:p>
            <w:pPr>
              <w:spacing w:after="0" w:line="240" w:lineRule="auto"/>
            </w:pPr>
          </w:p>
        </w:tc>
        <w:tc>
          <w:tcPr>
            <w:tcW w:w="2160" w:type="dxa"/>
          </w:tcPr>
          <w:p>
            <w:pPr>
              <w:spacing w:after="0" w:line="240" w:lineRule="auto"/>
            </w:pPr>
            <w:r>
              <w:t>5.2 自筹经费项目：产品安装、调试完毕并经过甲方验收合格后，甲方办理入库手续；入库手续办理完成之后二个月左右支付合同款项95％，剩余5%的余款作为履约保证金于保修期满后无息退还。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2160" w:type="dxa"/>
          </w:tcPr>
          <w:p>
            <w:pPr>
              <w:spacing w:after="0" w:line="240" w:lineRule="auto"/>
            </w:pPr>
            <w:r>
              <w:t>合同金额三万元以下</w:t>
            </w:r>
          </w:p>
        </w:tc>
        <w:tc>
          <w:tcPr>
            <w:tcW w:w="2160" w:type="dxa"/>
          </w:tcPr>
          <w:p>
            <w:pPr>
              <w:spacing w:after="0" w:line="240" w:lineRule="auto"/>
            </w:pPr>
            <w:r>
              <w:t>5.1 产品安装、调试完毕并经过甲方验收合格后，甲方办理入库手续；入库手续办理完成之后二个月左右支付合同款项100％。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restart"/>
          </w:tcPr>
          <w:p>
            <w:pPr>
              <w:spacing w:after="0" w:line="240" w:lineRule="auto"/>
            </w:pPr>
            <w:r>
              <w:t>6</w:t>
            </w:r>
          </w:p>
        </w:tc>
        <w:tc>
          <w:tcPr>
            <w:tcW w:w="2160" w:type="dxa"/>
            <w:vMerge w:val="restart"/>
          </w:tcPr>
          <w:p>
            <w:pPr>
              <w:spacing w:after="0" w:line="240" w:lineRule="auto"/>
            </w:pPr>
            <w:r>
              <w:t>违约责任</w:t>
            </w:r>
          </w:p>
        </w:tc>
        <w:tc>
          <w:tcPr>
            <w:tcW w:w="4320" w:type="dxa"/>
            <w:gridSpan w:val="2"/>
          </w:tcPr>
          <w:p>
            <w:pPr>
              <w:spacing w:after="0" w:line="240" w:lineRule="auto"/>
            </w:pPr>
            <w:r>
              <w:t>6.1若乙方交货期内不能交货，逾期15日历日内，乙方须承担每日逾期交货合同总价款千分之一的违约金；逾期超过15日历日(含)的，乙方需偿付合同总价款的30％的违约金；逾期超过30日历日(含)的，甲方有权解除合同，并要求乙方承担合同总价款的30％违约金，并按主管部门相关规定处理。若违约金无法弥补甲方的损失，乙方还应赔偿甲方因此造成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6.2若乙方交付的产品、工程或服务不符合其投标承诺的，或在投标阶段为了中标而盲目虚假承诺、低价恶性竞争，在履约阶段则通过偷工减料、以次充好而获取利润的，将被拒收产品并扣除全货款30％的违约金，且将被深圳市政府采购中心评为履约等级“差”并按主管部门相关规定处理。若违约金无法弥补甲方的损失，乙方还应赔偿甲方因此造成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6.3 如不能保证免费保修期内定期预防性维护保养或保修期满后维修配件供应的，纳入医院供应商评价黑名单。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after="0" w:line="240" w:lineRule="auto"/>
            </w:pPr>
            <w:r>
              <w:t>7</w:t>
            </w:r>
          </w:p>
        </w:tc>
        <w:tc>
          <w:tcPr>
            <w:tcW w:w="2160" w:type="dxa"/>
          </w:tcPr>
          <w:p>
            <w:pPr>
              <w:spacing w:after="0" w:line="240" w:lineRule="auto"/>
            </w:pPr>
            <w:r>
              <w:t>数据接口要求</w:t>
            </w:r>
          </w:p>
        </w:tc>
        <w:tc>
          <w:tcPr>
            <w:tcW w:w="4320" w:type="dxa"/>
            <w:gridSpan w:val="2"/>
          </w:tcPr>
          <w:p>
            <w:pPr>
              <w:spacing w:after="0" w:line="240" w:lineRule="auto"/>
            </w:pPr>
            <w:r>
              <w:t>7.1中标（成交）供应商应无偿配合医院信息科将设备连接到信息系统中，连接信息系统过程中如需产生费用则由其承担。中标（成交）供应商不能向医院信息系统如HIS、PACS、LIS等提出另行支付接口费等费用。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after="0" w:line="240" w:lineRule="auto"/>
            </w:pPr>
            <w:r>
              <w:t>8</w:t>
            </w:r>
          </w:p>
        </w:tc>
        <w:tc>
          <w:tcPr>
            <w:tcW w:w="2160" w:type="dxa"/>
          </w:tcPr>
          <w:p>
            <w:pPr>
              <w:spacing w:after="0" w:line="240" w:lineRule="auto"/>
            </w:pPr>
            <w:r>
              <w:t>其他</w:t>
            </w:r>
          </w:p>
        </w:tc>
        <w:tc>
          <w:tcPr>
            <w:tcW w:w="4320" w:type="dxa"/>
            <w:gridSpan w:val="2"/>
          </w:tcPr>
          <w:p>
            <w:pPr>
              <w:spacing w:after="0" w:line="240" w:lineRule="auto"/>
            </w:pPr>
            <w:r>
              <w:t>8.1投标人应按其投标文件中的承诺，进行其他售后服务工作。</w:t>
            </w:r>
          </w:p>
        </w:tc>
      </w:tr>
    </w:tbl>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ＭＳ 明朝">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jNTgyMmJlMjU4NjE0Y2ViMzU5MTc0OTgyYjkwMzQifQ=="/>
  </w:docVars>
  <w:rsids>
    <w:rsidRoot w:val="00B47730"/>
    <w:rsid w:val="00034616"/>
    <w:rsid w:val="0006063C"/>
    <w:rsid w:val="0015074B"/>
    <w:rsid w:val="0029639D"/>
    <w:rsid w:val="00326F90"/>
    <w:rsid w:val="00AA1D8D"/>
    <w:rsid w:val="00B47730"/>
    <w:rsid w:val="00CB0664"/>
    <w:rsid w:val="00FC693F"/>
    <w:rsid w:val="1415571E"/>
    <w:rsid w:val="31455F3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qFormat="1"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unhideWhenUsed="0" w:uiPriority="65" w:semiHidden="0" w:name="Medium List 1 Accent 5"/>
    <w:lsdException w:qFormat="1"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heme="minorBidi"/>
      <w:sz w:val="22"/>
      <w:szCs w:val="22"/>
      <w:lang w:val="en-US" w:eastAsia="en-US" w:bidi="ar-SA"/>
    </w:rPr>
  </w:style>
  <w:style w:type="paragraph" w:styleId="3">
    <w:name w:val="heading 1"/>
    <w:basedOn w:val="1"/>
    <w:next w:val="1"/>
    <w:link w:val="13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36"/>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46"/>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47"/>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48"/>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49"/>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0"/>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1"/>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0">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2">
    <w:name w:val="macro"/>
    <w:link w:val="143"/>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qFormat/>
    <w:uiPriority w:val="99"/>
    <w:pPr>
      <w:ind w:left="1080" w:hanging="360"/>
      <w:contextualSpacing/>
    </w:pPr>
  </w:style>
  <w:style w:type="paragraph" w:styleId="13">
    <w:name w:val="List Number 2"/>
    <w:basedOn w:val="1"/>
    <w:unhideWhenUsed/>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2"/>
    <w:unhideWhenUsed/>
    <w:qFormat/>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0"/>
    <w:unhideWhenUsed/>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Subtitle"/>
    <w:basedOn w:val="1"/>
    <w:next w:val="1"/>
    <w:link w:val="138"/>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5">
    <w:name w:val="List"/>
    <w:basedOn w:val="1"/>
    <w:unhideWhenUsed/>
    <w:qFormat/>
    <w:uiPriority w:val="99"/>
    <w:pPr>
      <w:ind w:left="360" w:hanging="360"/>
      <w:contextualSpacing/>
    </w:pPr>
  </w:style>
  <w:style w:type="paragraph" w:styleId="26">
    <w:name w:val="Body Text 2"/>
    <w:basedOn w:val="1"/>
    <w:link w:val="141"/>
    <w:unhideWhenUsed/>
    <w:uiPriority w:val="99"/>
    <w:pPr>
      <w:spacing w:after="120" w:line="480" w:lineRule="auto"/>
    </w:pPr>
  </w:style>
  <w:style w:type="paragraph" w:styleId="27">
    <w:name w:val="List Continue 2"/>
    <w:basedOn w:val="1"/>
    <w:unhideWhenUsed/>
    <w:qFormat/>
    <w:uiPriority w:val="99"/>
    <w:pPr>
      <w:spacing w:after="120"/>
      <w:ind w:left="720"/>
      <w:contextualSpacing/>
    </w:pPr>
  </w:style>
  <w:style w:type="paragraph" w:styleId="28">
    <w:name w:val="List Continue 3"/>
    <w:basedOn w:val="1"/>
    <w:unhideWhenUsed/>
    <w:qFormat/>
    <w:uiPriority w:val="99"/>
    <w:pPr>
      <w:spacing w:after="120"/>
      <w:ind w:left="1080"/>
      <w:contextualSpacing/>
    </w:pPr>
  </w:style>
  <w:style w:type="paragraph" w:styleId="29">
    <w:name w:val="Title"/>
    <w:basedOn w:val="1"/>
    <w:next w:val="1"/>
    <w:link w:val="137"/>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1">
    <w:name w:val="Table Grid"/>
    <w:basedOn w:val="3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2">
    <w:name w:val="Light Shading"/>
    <w:basedOn w:val="30"/>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3">
    <w:name w:val="Light Shading Accent 1"/>
    <w:basedOn w:val="30"/>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4">
    <w:name w:val="Light Shading Accent 2"/>
    <w:basedOn w:val="30"/>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5">
    <w:name w:val="Light Shading Accent 3"/>
    <w:basedOn w:val="30"/>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6">
    <w:name w:val="Light Shading Accent 4"/>
    <w:basedOn w:val="30"/>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7">
    <w:name w:val="Light Shading Accent 5"/>
    <w:basedOn w:val="30"/>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38">
    <w:name w:val="Light Shading Accent 6"/>
    <w:basedOn w:val="30"/>
    <w:qFormat/>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39">
    <w:name w:val="Light List"/>
    <w:basedOn w:val="30"/>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0">
    <w:name w:val="Light List Accent 1"/>
    <w:basedOn w:val="30"/>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1">
    <w:name w:val="Light List Accent 2"/>
    <w:basedOn w:val="30"/>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2">
    <w:name w:val="Light List Accent 3"/>
    <w:basedOn w:val="30"/>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3">
    <w:name w:val="Light List Accent 4"/>
    <w:basedOn w:val="30"/>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4">
    <w:name w:val="Light List Accent 5"/>
    <w:basedOn w:val="30"/>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5">
    <w:name w:val="Light List Accent 6"/>
    <w:basedOn w:val="30"/>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6">
    <w:name w:val="Light Grid"/>
    <w:basedOn w:val="30"/>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7">
    <w:name w:val="Light Grid Accent 1"/>
    <w:basedOn w:val="30"/>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48">
    <w:name w:val="Light Grid Accent 2"/>
    <w:basedOn w:val="30"/>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49">
    <w:name w:val="Light Grid Accent 3"/>
    <w:basedOn w:val="30"/>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0">
    <w:name w:val="Light Grid Accent 4"/>
    <w:basedOn w:val="30"/>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1">
    <w:name w:val="Light Grid Accent 5"/>
    <w:basedOn w:val="30"/>
    <w:qFormat/>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2">
    <w:name w:val="Light Grid Accent 6"/>
    <w:basedOn w:val="30"/>
    <w:qFormat/>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3">
    <w:name w:val="Medium Shading 1"/>
    <w:basedOn w:val="30"/>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4">
    <w:name w:val="Medium Shading 1 Accent 1"/>
    <w:basedOn w:val="30"/>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5">
    <w:name w:val="Medium Shading 1 Accent 2"/>
    <w:basedOn w:val="30"/>
    <w:qFormat/>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6">
    <w:name w:val="Medium Shading 1 Accent 3"/>
    <w:basedOn w:val="30"/>
    <w:qFormat/>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7">
    <w:name w:val="Medium Shading 1 Accent 4"/>
    <w:basedOn w:val="30"/>
    <w:qFormat/>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8">
    <w:name w:val="Medium Shading 1 Accent 5"/>
    <w:basedOn w:val="30"/>
    <w:qFormat/>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59">
    <w:name w:val="Medium Shading 1 Accent 6"/>
    <w:basedOn w:val="30"/>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0">
    <w:name w:val="Medium Shading 2"/>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1">
    <w:name w:val="Medium Shading 2 Accent 1"/>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2">
    <w:name w:val="Medium Shading 2 Accent 2"/>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3"/>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4"/>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5"/>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6"/>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List 1"/>
    <w:basedOn w:val="30"/>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68">
    <w:name w:val="Medium List 1 Accent 1"/>
    <w:basedOn w:val="30"/>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9">
    <w:name w:val="Medium List 1 Accent 2"/>
    <w:basedOn w:val="30"/>
    <w:qFormat/>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0">
    <w:name w:val="Medium List 1 Accent 3"/>
    <w:basedOn w:val="30"/>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1">
    <w:name w:val="Medium List 1 Accent 4"/>
    <w:basedOn w:val="30"/>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2">
    <w:name w:val="Medium List 1 Accent 5"/>
    <w:basedOn w:val="30"/>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3">
    <w:name w:val="Medium List 1 Accent 6"/>
    <w:basedOn w:val="30"/>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4">
    <w:name w:val="Medium List 2"/>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30"/>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30"/>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6"/>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Grid 1"/>
    <w:basedOn w:val="30"/>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2">
    <w:name w:val="Medium Grid 1 Accent 1"/>
    <w:basedOn w:val="30"/>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3">
    <w:name w:val="Medium Grid 1 Accent 2"/>
    <w:basedOn w:val="30"/>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4">
    <w:name w:val="Medium Grid 1 Accent 3"/>
    <w:basedOn w:val="30"/>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5">
    <w:name w:val="Medium Grid 1 Accent 4"/>
    <w:basedOn w:val="30"/>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6">
    <w:name w:val="Medium Grid 1 Accent 5"/>
    <w:basedOn w:val="30"/>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7">
    <w:name w:val="Medium Grid 1 Accent 6"/>
    <w:basedOn w:val="30"/>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8">
    <w:name w:val="Medium Grid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89">
    <w:name w:val="Medium Grid 2 Accent 1"/>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0">
    <w:name w:val="Medium Grid 2 Accent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1">
    <w:name w:val="Medium Grid 2 Accent 3"/>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2">
    <w:name w:val="Medium Grid 2 Accent 4"/>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3">
    <w:name w:val="Medium Grid 2 Accent 5"/>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4">
    <w:name w:val="Medium Grid 2 Accent 6"/>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5">
    <w:name w:val="Medium Grid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6">
    <w:name w:val="Medium Grid 3 Accent 1"/>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7">
    <w:name w:val="Medium Grid 3 Accent 2"/>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98">
    <w:name w:val="Medium Grid 3 Accent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99">
    <w:name w:val="Medium Grid 3 Accent 4"/>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0">
    <w:name w:val="Medium Grid 3 Accent 5"/>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1">
    <w:name w:val="Medium Grid 3 Accent 6"/>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2">
    <w:name w:val="Dark List"/>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3">
    <w:name w:val="Dark List Accent 1"/>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4">
    <w:name w:val="Dark List Accent 2"/>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5">
    <w:name w:val="Dark List Accent 3"/>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6">
    <w:name w:val="Dark List Accent 4"/>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7">
    <w:name w:val="Dark List Accent 5"/>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08">
    <w:name w:val="Dark List Accent 6"/>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09">
    <w:name w:val="Colorful Shading"/>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0">
    <w:name w:val="Colorful Shading Accent 1"/>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1">
    <w:name w:val="Colorful Shading Accent 2"/>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3"/>
    <w:basedOn w:val="30"/>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3">
    <w:name w:val="Colorful Shading Accent 4"/>
    <w:basedOn w:val="30"/>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5"/>
    <w:basedOn w:val="30"/>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6"/>
    <w:basedOn w:val="30"/>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List"/>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7">
    <w:name w:val="Colorful List Accent 1"/>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8">
    <w:name w:val="Colorful List Accent 2"/>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19">
    <w:name w:val="Colorful List Accent 3"/>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0">
    <w:name w:val="Colorful List Accent 4"/>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1">
    <w:name w:val="Colorful List Accent 5"/>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2">
    <w:name w:val="Colorful List Accent 6"/>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3">
    <w:name w:val="Colorful Grid"/>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4">
    <w:name w:val="Colorful Grid Accent 1"/>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5">
    <w:name w:val="Colorful Grid Accent 2"/>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6">
    <w:name w:val="Colorful Grid Accent 3"/>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7">
    <w:name w:val="Colorful Grid Accent 4"/>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28">
    <w:name w:val="Colorful Grid Accent 5"/>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29">
    <w:name w:val="Colorful Grid Accent 6"/>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1">
    <w:name w:val="Strong"/>
    <w:basedOn w:val="130"/>
    <w:qFormat/>
    <w:uiPriority w:val="22"/>
    <w:rPr>
      <w:b/>
      <w:bCs/>
    </w:rPr>
  </w:style>
  <w:style w:type="character" w:styleId="132">
    <w:name w:val="Emphasis"/>
    <w:basedOn w:val="130"/>
    <w:qFormat/>
    <w:uiPriority w:val="20"/>
    <w:rPr>
      <w:i/>
      <w:iCs/>
    </w:rPr>
  </w:style>
  <w:style w:type="paragraph" w:styleId="133">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4">
    <w:name w:val="Heading 1 Char"/>
    <w:basedOn w:val="130"/>
    <w:link w:val="3"/>
    <w:uiPriority w:val="9"/>
    <w:rPr>
      <w:rFonts w:asciiTheme="majorHAnsi" w:hAnsiTheme="majorHAnsi" w:eastAsiaTheme="majorEastAsia" w:cstheme="majorBidi"/>
      <w:b/>
      <w:bCs/>
      <w:color w:val="376092" w:themeColor="accent1" w:themeShade="BF"/>
      <w:sz w:val="28"/>
      <w:szCs w:val="28"/>
    </w:rPr>
  </w:style>
  <w:style w:type="character" w:customStyle="1" w:styleId="135">
    <w:name w:val="Heading 2 Char"/>
    <w:basedOn w:val="130"/>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6">
    <w:name w:val="Heading 3 Char"/>
    <w:basedOn w:val="130"/>
    <w:link w:val="5"/>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7">
    <w:name w:val="Title Char"/>
    <w:basedOn w:val="130"/>
    <w:link w:val="29"/>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38">
    <w:name w:val="Subtitle Char"/>
    <w:basedOn w:val="130"/>
    <w:link w:val="24"/>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39">
    <w:name w:val="List Paragraph"/>
    <w:basedOn w:val="1"/>
    <w:qFormat/>
    <w:uiPriority w:val="34"/>
    <w:pPr>
      <w:ind w:left="720"/>
      <w:contextualSpacing/>
    </w:pPr>
  </w:style>
  <w:style w:type="character" w:customStyle="1" w:styleId="140">
    <w:name w:val="Body Text Char"/>
    <w:basedOn w:val="130"/>
    <w:link w:val="19"/>
    <w:qFormat/>
    <w:uiPriority w:val="99"/>
  </w:style>
  <w:style w:type="character" w:customStyle="1" w:styleId="141">
    <w:name w:val="Body Text 2 Char"/>
    <w:basedOn w:val="130"/>
    <w:link w:val="26"/>
    <w:uiPriority w:val="99"/>
  </w:style>
  <w:style w:type="character" w:customStyle="1" w:styleId="142">
    <w:name w:val="Body Text 3 Char"/>
    <w:basedOn w:val="130"/>
    <w:link w:val="17"/>
    <w:uiPriority w:val="99"/>
    <w:rPr>
      <w:sz w:val="16"/>
      <w:szCs w:val="16"/>
    </w:rPr>
  </w:style>
  <w:style w:type="character" w:customStyle="1" w:styleId="143">
    <w:name w:val="Macro Text Char"/>
    <w:basedOn w:val="130"/>
    <w:link w:val="2"/>
    <w:qFormat/>
    <w:uiPriority w:val="99"/>
    <w:rPr>
      <w:rFonts w:ascii="Courier" w:hAnsi="Courier"/>
      <w:sz w:val="20"/>
      <w:szCs w:val="20"/>
    </w:rPr>
  </w:style>
  <w:style w:type="paragraph" w:styleId="144">
    <w:name w:val="Quote"/>
    <w:basedOn w:val="1"/>
    <w:next w:val="1"/>
    <w:link w:val="145"/>
    <w:qFormat/>
    <w:uiPriority w:val="29"/>
    <w:rPr>
      <w:i/>
      <w:iCs/>
      <w:color w:val="000000" w:themeColor="text1"/>
      <w14:textFill>
        <w14:solidFill>
          <w14:schemeClr w14:val="tx1"/>
        </w14:solidFill>
      </w14:textFill>
    </w:rPr>
  </w:style>
  <w:style w:type="character" w:customStyle="1" w:styleId="145">
    <w:name w:val="Quote Char"/>
    <w:basedOn w:val="130"/>
    <w:link w:val="144"/>
    <w:uiPriority w:val="29"/>
    <w:rPr>
      <w:i/>
      <w:iCs/>
      <w:color w:val="000000" w:themeColor="text1"/>
      <w14:textFill>
        <w14:solidFill>
          <w14:schemeClr w14:val="tx1"/>
        </w14:solidFill>
      </w14:textFill>
    </w:rPr>
  </w:style>
  <w:style w:type="character" w:customStyle="1" w:styleId="146">
    <w:name w:val="Heading 4 Char"/>
    <w:basedOn w:val="130"/>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47">
    <w:name w:val="Heading 5 Char"/>
    <w:basedOn w:val="130"/>
    <w:link w:val="7"/>
    <w:semiHidden/>
    <w:uiPriority w:val="9"/>
    <w:rPr>
      <w:rFonts w:asciiTheme="majorHAnsi" w:hAnsiTheme="majorHAnsi" w:eastAsiaTheme="majorEastAsia" w:cstheme="majorBidi"/>
      <w:color w:val="254061" w:themeColor="accent1" w:themeShade="80"/>
    </w:rPr>
  </w:style>
  <w:style w:type="character" w:customStyle="1" w:styleId="148">
    <w:name w:val="Heading 6 Char"/>
    <w:basedOn w:val="130"/>
    <w:link w:val="8"/>
    <w:semiHidden/>
    <w:uiPriority w:val="9"/>
    <w:rPr>
      <w:rFonts w:asciiTheme="majorHAnsi" w:hAnsiTheme="majorHAnsi" w:eastAsiaTheme="majorEastAsia" w:cstheme="majorBidi"/>
      <w:i/>
      <w:iCs/>
      <w:color w:val="254061" w:themeColor="accent1" w:themeShade="80"/>
    </w:rPr>
  </w:style>
  <w:style w:type="character" w:customStyle="1" w:styleId="149">
    <w:name w:val="Heading 7 Char"/>
    <w:basedOn w:val="130"/>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0">
    <w:name w:val="Heading 8 Char"/>
    <w:basedOn w:val="130"/>
    <w:link w:val="10"/>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1">
    <w:name w:val="Heading 9 Char"/>
    <w:basedOn w:val="130"/>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2">
    <w:name w:val="Intense Quote"/>
    <w:basedOn w:val="1"/>
    <w:next w:val="1"/>
    <w:link w:val="153"/>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3">
    <w:name w:val="Intense Quote Char"/>
    <w:basedOn w:val="130"/>
    <w:link w:val="152"/>
    <w:uiPriority w:val="30"/>
    <w:rPr>
      <w:b/>
      <w:bCs/>
      <w:i/>
      <w:iCs/>
      <w:color w:val="4F81BD" w:themeColor="accent1"/>
      <w14:textFill>
        <w14:solidFill>
          <w14:schemeClr w14:val="accent1"/>
        </w14:solidFill>
      </w14:textFill>
    </w:rPr>
  </w:style>
  <w:style w:type="character" w:customStyle="1" w:styleId="154">
    <w:name w:val="Subtle Emphasis"/>
    <w:basedOn w:val="130"/>
    <w:qFormat/>
    <w:uiPriority w:val="19"/>
    <w:rPr>
      <w:i/>
      <w:iCs/>
      <w:color w:val="808080" w:themeColor="text1" w:themeTint="80"/>
      <w14:textFill>
        <w14:solidFill>
          <w14:schemeClr w14:val="tx1">
            <w14:lumMod w14:val="50000"/>
            <w14:lumOff w14:val="50000"/>
          </w14:schemeClr>
        </w14:solidFill>
      </w14:textFill>
    </w:rPr>
  </w:style>
  <w:style w:type="character" w:customStyle="1" w:styleId="155">
    <w:name w:val="Intense Emphasis"/>
    <w:basedOn w:val="130"/>
    <w:qFormat/>
    <w:uiPriority w:val="21"/>
    <w:rPr>
      <w:b/>
      <w:bCs/>
      <w:i/>
      <w:iCs/>
      <w:color w:val="4F81BD" w:themeColor="accent1"/>
      <w14:textFill>
        <w14:solidFill>
          <w14:schemeClr w14:val="accent1"/>
        </w14:solidFill>
      </w14:textFill>
    </w:rPr>
  </w:style>
  <w:style w:type="character" w:customStyle="1" w:styleId="156">
    <w:name w:val="Subtle Reference"/>
    <w:basedOn w:val="130"/>
    <w:qFormat/>
    <w:uiPriority w:val="31"/>
    <w:rPr>
      <w:smallCaps/>
      <w:color w:val="C0504D" w:themeColor="accent2"/>
      <w:u w:val="single"/>
      <w14:textFill>
        <w14:solidFill>
          <w14:schemeClr w14:val="accent2"/>
        </w14:solidFill>
      </w14:textFill>
    </w:rPr>
  </w:style>
  <w:style w:type="character" w:customStyle="1" w:styleId="157">
    <w:name w:val="Intense Reference"/>
    <w:basedOn w:val="130"/>
    <w:qFormat/>
    <w:uiPriority w:val="32"/>
    <w:rPr>
      <w:b/>
      <w:bCs/>
      <w:smallCaps/>
      <w:color w:val="C0504D" w:themeColor="accent2"/>
      <w:spacing w:val="5"/>
      <w:u w:val="single"/>
      <w14:textFill>
        <w14:solidFill>
          <w14:schemeClr w14:val="accent2"/>
        </w14:solidFill>
      </w14:textFill>
    </w:rPr>
  </w:style>
  <w:style w:type="character" w:customStyle="1" w:styleId="158">
    <w:name w:val="Book Title"/>
    <w:basedOn w:val="130"/>
    <w:qFormat/>
    <w:uiPriority w:val="33"/>
    <w:rPr>
      <w:b/>
      <w:bCs/>
      <w:smallCaps/>
      <w:spacing w:val="5"/>
    </w:rPr>
  </w:style>
  <w:style w:type="paragraph" w:customStyle="1" w:styleId="159">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2361</Words>
  <Characters>2531</Characters>
  <Lines>0</Lines>
  <Paragraphs>0</Paragraphs>
  <TotalTime>1</TotalTime>
  <ScaleCrop>false</ScaleCrop>
  <LinksUpToDate>false</LinksUpToDate>
  <CharactersWithSpaces>2607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@SHAO@</cp:lastModifiedBy>
  <dcterms:modified xsi:type="dcterms:W3CDTF">2022-07-28T00:20:08Z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90295739F37C48D6B0ED2C12E6CEA2ED</vt:lpwstr>
  </property>
</Properties>
</file>