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一、</w:t>
              <w:tab/>
              <w:t>技术参数</w:t>
              <w:br/>
              <w:br/>
              <w:t>1、</w:t>
              <w:tab/>
              <w:t>适用口腔科根管预备、成形电动马达系统。</w:t>
              <w:br/>
              <w:br/>
              <w:t>2、</w:t>
              <w:tab/>
              <w:t>至少具有往复式旋转运动模式（逆时针150°，顺时针30°）和360度旋转连续运动模式；</w:t>
              <w:br/>
              <w:br/>
              <w:t>3、</w:t>
              <w:tab/>
              <w:t>马达至少包含Waveone，Protaper，Pathfile，Protaper Next，Protaper再治疗锉，Reciproc等程序，并有手工自选调节程序界面（适用各品牌的机用根管预备锉）；</w:t>
              <w:br/>
              <w:br/>
              <w:t>4、</w:t>
              <w:tab/>
              <w:t>★设有GATES程序；</w:t>
              <w:br/>
              <w:br/>
              <w:t>5、</w:t>
              <w:tab/>
              <w:t>★6：1反角弯机头，有转速、扭矩校准功能；</w:t>
              <w:br/>
              <w:br/>
              <w:t>6、</w:t>
              <w:tab/>
              <w:t>弯机头锉针连接部位厚度：1.1cm（±10%），视野开阔;</w:t>
              <w:br/>
              <w:br/>
              <w:t>7、   马达开关设在手柄，简单易用。</w:t>
              <w:br/>
              <w:br/>
              <w:t>8、</w:t>
              <w:tab/>
              <w:t>马达可调节的参数至少含有转速，扭矩，减速比；</w:t>
              <w:br/>
              <w:br/>
              <w:t>9、安全性：马达含有自动反转功能（锉所受阻力大于系统设定的扭矩值则自动反转）；</w:t>
              <w:br/>
              <w:br/>
              <w:t>10、</w:t>
              <w:tab/>
              <w:t>★彩色显示屏，界面显示清晰，操作方便简单；</w:t>
              <w:br/>
              <w:br/>
              <w:t>11、</w:t>
              <w:tab/>
              <w:t>反角手机至少有6个可调整的方向，适用于不同牙位治疗；</w:t>
              <w:br/>
              <w:br/>
              <w:t>12、</w:t>
              <w:tab/>
              <w:t>扭矩范围至少涵盖0.6-4.0Ncm；</w:t>
              <w:br/>
              <w:br/>
              <w:t>13、速度范围至少涵盖250-1200RPM。</w:t>
              <w:br/>
              <w:br/>
              <w:br/>
              <w:br/>
              <w:t>二、配置：</w:t>
              <w:br/>
              <w:br/>
              <w:t>至少含有</w:t>
              <w:br/>
              <w:br/>
              <w:t>1）控制主机一台</w:t>
              <w:br/>
              <w:br/>
              <w:t>2）马达手柄连线一套</w:t>
              <w:br/>
              <w:br/>
              <w:t>3）AC充电器一套</w:t>
              <w:br/>
              <w:br/>
              <w:t>4）弯机头2把</w:t>
              <w:br/>
              <w:br/>
              <w:t>5）机头座一个</w:t>
              <w:br/>
              <w:br/>
              <w:t>6）F类喷嘴（用于润滑）一个</w:t>
              <w:br/>
              <w:br/>
              <w:t xml:space="preserve">7）说明书一套 </w:t>
              <w:br/>
              <w:br/>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详见总体要求</w:t>
            </w:r>
          </w:p>
        </w:tc>
        <w:tc>
          <w:tcPr>
            <w:tcW w:type="dxa" w:w="2160"/>
          </w:tcPr>
          <w:p>
            <w:r>
              <w:t>个</w:t>
            </w:r>
          </w:p>
        </w:tc>
        <w:tc>
          <w:tcPr>
            <w:tcW w:type="dxa" w:w="2160"/>
          </w:tcPr>
          <w:p>
            <w:r>
              <w:t>1</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3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