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一、具体技术要求</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货物名称</w:t>
            </w:r>
          </w:p>
        </w:tc>
        <w:tc>
          <w:tcPr>
            <w:tcW w:type="dxa" w:w="6480"/>
            <w:gridSpan w:val="3"/>
          </w:tcPr>
          <w:p>
            <w:r>
              <w:t>技术要求</w:t>
            </w:r>
          </w:p>
        </w:tc>
      </w:tr>
      <w:tr>
        <w:tc>
          <w:tcPr>
            <w:tcW w:type="dxa" w:w="2160"/>
          </w:tcPr>
          <w:p>
            <w:r>
              <w:t>总体要求</w:t>
            </w:r>
          </w:p>
        </w:tc>
        <w:tc>
          <w:tcPr>
            <w:tcW w:type="dxa" w:w="6480"/>
            <w:gridSpan w:val="3"/>
          </w:tcPr>
          <w:p>
            <w:r>
              <w:t>▲1.暗箱结构：箱体面板由高分子材料模具成型，机箱由不锈钢材料冲压成型，确保光密闭及抗干扰，全开门式暗箱，方便切胶操作，开门自动紫外保护</w:t>
              <w:br/>
              <w:br/>
              <w:t>▲2.内置工业计算机，不小于9寸的触摸屏，可以触摸屏控制也可以外接电脑控制。</w:t>
              <w:br/>
              <w:br/>
              <w:t>3．进口高灵敏度制冷CCD相机：分辨率：不低于600万像素，2688 x 2200</w:t>
              <w:br/>
              <w:br/>
              <w:t>4.像素大小：不低于4.54X4.54um，像素密度： 不小于16bit</w:t>
              <w:br/>
              <w:br/>
              <w:t>▲5. 量子效率： ≥75%，致冷：三级半导体热电式(TEC)致冷,绝对-30℃以下，暗电流小于等于0.00013e/Pixel/Second，非常低的背景噪音，大大提高弱光的检测灵敏度。</w:t>
              <w:br/>
              <w:br/>
              <w:t>▲6.F0.8的大光圈快速镜头，进光量大，灵敏度高</w:t>
              <w:br/>
              <w:br/>
              <w:t>7.化学发光样品台：双层特殊涂层暗背景化学发光样品载样台</w:t>
              <w:br/>
              <w:br/>
              <w:t>▲8.可见光样品台：高亮度LED白光透射，机箱匹配磁吸顶针式接口，即插即用，方便快捷透照面积 19 x 26 cm，可见光样品台带有触摸控制键，可根据样品类型和样品信号强弱来连续调节可见光光强度。</w:t>
              <w:br/>
              <w:br/>
              <w:t>▲9.配备紫外样品台：UVSmart超薄紫外样品台，无紫外灯影设计，背景更纯净，透射面积21 x 26cm</w:t>
              <w:br/>
              <w:br/>
              <w:t>10.双侧上下层分别有白色LED反射光源，一共4组，选择对应层样品台时白光自动打开</w:t>
              <w:br/>
              <w:br/>
              <w:t>▲11.配备八位置自动滤镜系统，荧光光源与滤镜自动联动，无需人为切换，可自动根据不同样品自动识别，标配590nm、525nm、585nm、690nm滤镜。</w:t>
              <w:br/>
              <w:br/>
              <w:t>12.标配荧光光源至少包含：470nm、530nm、630nm。</w:t>
              <w:br/>
              <w:br/>
              <w:t>13. 高精度自动曝光功能,无需揣摩曝光时间，一键完成western成像</w:t>
              <w:br/>
              <w:br/>
              <w:t>14. 除了自动曝光外，还有可手动曝光，灰度累积曝光，时间累积曝光。</w:t>
              <w:br/>
              <w:br/>
              <w:t>15.一次拍摄无需任何操作即可将marker图像与化学发光图像自动叠加并且自动生成三种不同效果的化学发光图像。</w:t>
              <w:br/>
              <w:br/>
              <w:t>16.像素合并: 用户可根据不同样品类型在拍摄界面选择不同像素合并的参数，无需进入后台设置。</w:t>
              <w:br/>
              <w:br/>
              <w:t>17.自动识别泳道条带，并且可以根据需要添加、删除，调整泳道，实现泳道的精确分离。自动计算泳道中各条带的密度积分和峰值，方便计算分子量大小及条带的迁移率。</w:t>
              <w:br/>
              <w:br/>
              <w:t>18.具备追踪回溯功能：独立日志记录对图像的每一步操作和分析，以确保分析结果的可靠性和可追溯性。</w:t>
              <w:br/>
              <w:br/>
              <w:t>▲19. 软件提供多级用户权限，可对操作者进行管理，不同级别用户登录后有不同的权限。</w:t>
              <w:br/>
              <w:br/>
              <w:t>20.分析结果可直接输出PDF报告，报告包含用户单位，操作者姓名，图像拍摄和分析的日期，时间，以及拍摄时相机镜头状态和实际参数，图像灰阶显示范围等信息</w:t>
              <w:br/>
              <w:br/>
              <w:t>21. 应用范围：化学发光检测Western Lightning, ECL, ECL plus, CDP Star, SuperSignal, CSPD, LumiGlo等发光底物；蛋白检测考马斯亮蓝胶，银染胶，以及荧光染料如SyproTMRed, SyproTMOrange, Pro-Q Diamond, Deep Purple标记胶/膜/芯片等；</w:t>
              <w:br/>
              <w:br/>
              <w:t>22. 仪器通过EN61010-1:2010认证。</w:t>
              <w:br/>
              <w:br/>
              <w:br/>
              <w:br/>
              <w:br/>
              <w:br/>
            </w:r>
          </w:p>
        </w:tc>
      </w:tr>
      <w:tr>
        <w:tc>
          <w:tcPr>
            <w:tcW w:type="dxa" w:w="8640"/>
            <w:gridSpan w:val="4"/>
          </w:tcPr>
          <w:p>
            <w:r>
              <w:t>配置清单 (注：配置清单需明确数量、单位、且不可涉及产地品牌型号等)</w:t>
            </w:r>
          </w:p>
        </w:tc>
      </w:tr>
      <w:tr>
        <w:tc>
          <w:tcPr>
            <w:tcW w:type="dxa" w:w="2160"/>
          </w:tcPr>
          <w:p>
            <w:r>
              <w:t>序号</w:t>
            </w:r>
          </w:p>
        </w:tc>
        <w:tc>
          <w:tcPr>
            <w:tcW w:type="dxa" w:w="2160"/>
          </w:tcPr>
          <w:p>
            <w:r>
              <w:t>名称</w:t>
            </w:r>
          </w:p>
        </w:tc>
        <w:tc>
          <w:tcPr>
            <w:tcW w:type="dxa" w:w="2160"/>
          </w:tcPr>
          <w:p>
            <w:r>
              <w:t>单位</w:t>
            </w:r>
          </w:p>
        </w:tc>
        <w:tc>
          <w:tcPr>
            <w:tcW w:type="dxa" w:w="2160"/>
          </w:tcPr>
          <w:p>
            <w:r>
              <w:t>数量</w:t>
            </w:r>
          </w:p>
        </w:tc>
      </w:tr>
      <w:tr>
        <w:tc>
          <w:tcPr>
            <w:tcW w:type="dxa" w:w="2160"/>
          </w:tcPr>
          <w:p>
            <w:r>
              <w:t>1</w:t>
            </w:r>
          </w:p>
        </w:tc>
        <w:tc>
          <w:tcPr>
            <w:tcW w:type="dxa" w:w="2160"/>
          </w:tcPr>
          <w:p>
            <w:r>
              <w:t>主机</w:t>
            </w:r>
          </w:p>
        </w:tc>
        <w:tc>
          <w:tcPr>
            <w:tcW w:type="dxa" w:w="2160"/>
          </w:tcPr>
          <w:p>
            <w:r>
              <w:t>台</w:t>
            </w:r>
          </w:p>
        </w:tc>
        <w:tc>
          <w:tcPr>
            <w:tcW w:type="dxa" w:w="2160"/>
          </w:tcPr>
          <w:p>
            <w:r>
              <w:t>1</w:t>
            </w:r>
          </w:p>
        </w:tc>
      </w:tr>
      <w:tr>
        <w:tc>
          <w:tcPr>
            <w:tcW w:type="dxa" w:w="2160"/>
          </w:tcPr>
          <w:p>
            <w:r>
              <w:t>2</w:t>
            </w:r>
          </w:p>
        </w:tc>
        <w:tc>
          <w:tcPr>
            <w:tcW w:type="dxa" w:w="2160"/>
          </w:tcPr>
          <w:p>
            <w:r>
              <w:t>超灵敏多功能荧光化学发光成像仪</w:t>
            </w:r>
          </w:p>
        </w:tc>
        <w:tc>
          <w:tcPr>
            <w:tcW w:type="dxa" w:w="2160"/>
          </w:tcPr>
          <w:p>
            <w:r>
              <w:t>台</w:t>
            </w:r>
          </w:p>
        </w:tc>
        <w:tc>
          <w:tcPr>
            <w:tcW w:type="dxa" w:w="2160"/>
          </w:tcPr>
          <w:p>
            <w:r>
              <w:t>1</w:t>
            </w:r>
          </w:p>
        </w:tc>
      </w:tr>
    </w:tbl>
    <w:p>
      <w:r>
        <w:t>二、商务条款</w:t>
      </w:r>
    </w:p>
    <w:tbl>
      <w:tblPr>
        <w:tblStyle w:val="TableGrid"/>
        <w:tblW w:type="auto" w:w="0"/>
        <w:tblLook w:firstColumn="1" w:firstRow="1" w:lastColumn="0" w:lastRow="0" w:noHBand="0" w:noVBand="1" w:val="04A0"/>
      </w:tblPr>
      <w:tblGrid>
        <w:gridCol w:w="2880"/>
        <w:gridCol w:w="2880"/>
        <w:gridCol w:w="2880"/>
      </w:tblGrid>
      <w:tr>
        <w:tc>
          <w:tcPr>
            <w:tcW w:type="dxa" w:w="2880"/>
          </w:tcPr>
          <w:p>
            <w:r>
              <w:t>序号</w:t>
            </w:r>
          </w:p>
        </w:tc>
        <w:tc>
          <w:tcPr>
            <w:tcW w:type="dxa" w:w="2880"/>
          </w:tcPr>
          <w:p>
            <w:r>
              <w:t>目录</w:t>
            </w:r>
          </w:p>
        </w:tc>
        <w:tc>
          <w:tcPr>
            <w:tcW w:type="dxa" w:w="2880"/>
          </w:tcPr>
          <w:p>
            <w:r>
              <w:t>商务要求</w:t>
            </w:r>
          </w:p>
        </w:tc>
      </w:tr>
      <w:tr>
        <w:tc>
          <w:tcPr>
            <w:tcW w:type="dxa" w:w="8640"/>
            <w:gridSpan w:val="3"/>
          </w:tcPr>
          <w:p>
            <w:r>
              <w:t>（一）免费保修期内售后服务要求</w:t>
            </w:r>
          </w:p>
        </w:tc>
      </w:tr>
      <w:tr>
        <w:tc>
          <w:tcPr>
            <w:tcW w:type="dxa" w:w="2880"/>
            <w:vMerge w:val="restart"/>
          </w:tcPr>
          <w:p>
            <w:r>
              <w:t>1</w:t>
            </w:r>
          </w:p>
        </w:tc>
        <w:tc>
          <w:tcPr>
            <w:tcW w:type="dxa" w:w="2880"/>
            <w:vMerge w:val="restart"/>
          </w:tcPr>
          <w:p>
            <w:r>
              <w:t>维修及维护服务</w:t>
            </w:r>
          </w:p>
        </w:tc>
        <w:tc>
          <w:tcPr>
            <w:tcW w:type="dxa" w:w="2880"/>
          </w:tcPr>
          <w:p>
            <w:r>
              <w:t>★1.1所投货物（含标准配置及可选配件）免费保修期 5 年,时间自最终验收合格并交付使用之日起计算。</w:t>
            </w:r>
          </w:p>
        </w:tc>
      </w:tr>
      <w:tr>
        <w:tc>
          <w:tcPr>
            <w:tcW w:type="dxa" w:w="2880"/>
            <w:vMerge/>
          </w:tcPr>
          <w:p/>
        </w:tc>
        <w:tc>
          <w:tcPr>
            <w:tcW w:type="dxa" w:w="2880"/>
            <w:vMerge/>
          </w:tcPr>
          <w:p/>
        </w:tc>
        <w:tc>
          <w:tcPr>
            <w:tcW w:type="dxa" w:w="2880"/>
          </w:tcPr>
          <w:p>
            <w: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tc>
          <w:tcPr>
            <w:tcW w:type="dxa" w:w="2880"/>
            <w:vMerge/>
          </w:tcPr>
          <w:p/>
        </w:tc>
        <w:tc>
          <w:tcPr>
            <w:tcW w:type="dxa" w:w="2880"/>
            <w:vMerge/>
          </w:tcPr>
          <w:p/>
        </w:tc>
        <w:tc>
          <w:tcPr>
            <w:tcW w:type="dxa" w:w="2880"/>
          </w:tcPr>
          <w:p>
            <w:r>
              <w:t>1.3由设备制造商提供售后服务，4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★1.4提供设备原厂服务，负责货物的终身维修，保证 10 年以上供应维修配件，5 年内免费提供软件升级服务，并免费配合医院完成设备端信息化接口改造。</w:t>
            </w:r>
          </w:p>
        </w:tc>
      </w:tr>
      <w:tr>
        <w:tc>
          <w:tcPr>
            <w:tcW w:type="dxa" w:w="2880"/>
          </w:tcPr>
          <w:p>
            <w:r>
              <w:t>2</w:t>
            </w:r>
          </w:p>
        </w:tc>
        <w:tc>
          <w:tcPr>
            <w:tcW w:type="dxa" w:w="2880"/>
          </w:tcPr>
          <w:p>
            <w:r>
              <w:t>质量保证</w:t>
            </w:r>
          </w:p>
        </w:tc>
        <w:tc>
          <w:tcPr>
            <w:tcW w:type="dxa" w:w="2880"/>
          </w:tcPr>
          <w:p>
            <w: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tc>
          <w:tcPr>
            <w:tcW w:type="dxa" w:w="8640"/>
            <w:gridSpan w:val="3"/>
          </w:tcPr>
          <w:p>
            <w:r>
              <w:t>（二）免费保修期外售后服务要求</w:t>
            </w:r>
          </w:p>
        </w:tc>
      </w:tr>
      <w:tr>
        <w:tc>
          <w:tcPr>
            <w:tcW w:type="dxa" w:w="2880"/>
            <w:vMerge w:val="restart"/>
          </w:tcPr>
          <w:p>
            <w:r>
              <w:t>1</w:t>
            </w:r>
          </w:p>
        </w:tc>
        <w:tc>
          <w:tcPr>
            <w:tcW w:type="dxa" w:w="2880"/>
            <w:vMerge w:val="restart"/>
          </w:tcPr>
          <w:p>
            <w:r>
              <w:t>服务内容及要求</w:t>
            </w:r>
          </w:p>
        </w:tc>
        <w:tc>
          <w:tcPr>
            <w:tcW w:type="dxa" w:w="2880"/>
          </w:tcPr>
          <w:p>
            <w:r>
              <w:t>1.1由设备制造商提供售后服务， 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tc>
          <w:tcPr>
            <w:tcW w:type="dxa" w:w="2880"/>
            <w:vMerge/>
          </w:tcPr>
          <w:p/>
        </w:tc>
        <w:tc>
          <w:tcPr>
            <w:tcW w:type="dxa" w:w="2880"/>
            <w:vMerge/>
          </w:tcPr>
          <w:p/>
        </w:tc>
        <w:tc>
          <w:tcPr>
            <w:tcW w:type="dxa" w:w="2880"/>
          </w:tcPr>
          <w:p>
            <w:r>
              <w:t>1.3维修的货物经采购人验收合格，且设备制造商提供维修专用发票后，采购人支付维修费用。</w:t>
            </w:r>
          </w:p>
        </w:tc>
      </w:tr>
      <w:tr>
        <w:tc>
          <w:tcPr>
            <w:tcW w:type="dxa" w:w="2880"/>
            <w:vMerge/>
          </w:tcPr>
          <w:p/>
        </w:tc>
        <w:tc>
          <w:tcPr>
            <w:tcW w:type="dxa" w:w="2880"/>
            <w:vMerge/>
          </w:tcPr>
          <w:p/>
        </w:tc>
        <w:tc>
          <w:tcPr>
            <w:tcW w:type="dxa" w:w="2880"/>
          </w:tcPr>
          <w:p>
            <w:r>
              <w:t>1.4采购人可与投标人就优惠价进行谈判，但优惠价不得高于投标人在投标文件的《零配件、消耗品和延续保修合同报价明清单》中承诺的维修零配件、消耗品和延续保修合同的报价。</w:t>
            </w:r>
          </w:p>
        </w:tc>
      </w:tr>
      <w:tr>
        <w:tc>
          <w:tcPr>
            <w:tcW w:type="dxa" w:w="2880"/>
            <w:vMerge/>
          </w:tcPr>
          <w:p/>
        </w:tc>
        <w:tc>
          <w:tcPr>
            <w:tcW w:type="dxa" w:w="2880"/>
            <w:vMerge/>
          </w:tcPr>
          <w:p/>
        </w:tc>
        <w:tc>
          <w:tcPr>
            <w:tcW w:type="dxa" w:w="2880"/>
          </w:tcPr>
          <w:p>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c>
          <w:tcPr>
            <w:tcW w:type="dxa" w:w="8640"/>
            <w:gridSpan w:val="3"/>
          </w:tcPr>
          <w:p>
            <w:r>
              <w:t>（三）其他商务要求</w:t>
            </w:r>
          </w:p>
        </w:tc>
      </w:tr>
      <w:tr>
        <w:tc>
          <w:tcPr>
            <w:tcW w:type="dxa" w:w="2880"/>
            <w:vMerge w:val="restart"/>
          </w:tcPr>
          <w:p>
            <w:r>
              <w:t>2</w:t>
            </w:r>
          </w:p>
        </w:tc>
        <w:tc>
          <w:tcPr>
            <w:tcW w:type="dxa" w:w="2880"/>
            <w:vMerge w:val="restart"/>
          </w:tcPr>
          <w:p>
            <w:r>
              <w:t>运输、安装和验收</w:t>
            </w:r>
          </w:p>
        </w:tc>
        <w:tc>
          <w:tcPr>
            <w:tcW w:type="dxa" w:w="2880"/>
          </w:tcPr>
          <w:p>
            <w:r>
              <w:t>★1.1投标人在签订合同之日起，国产设备60日历日内、进口设备90日历日内交货并安装调试完毕，交付采购人验收。</w:t>
            </w:r>
          </w:p>
        </w:tc>
      </w:tr>
      <w:tr>
        <w:tc>
          <w:tcPr>
            <w:tcW w:type="dxa" w:w="2880"/>
            <w:vMerge/>
          </w:tcPr>
          <w:p/>
        </w:tc>
        <w:tc>
          <w:tcPr>
            <w:tcW w:type="dxa" w:w="2880"/>
            <w:vMerge/>
          </w:tcPr>
          <w:p/>
        </w:tc>
        <w:tc>
          <w:tcPr>
            <w:tcW w:type="dxa" w:w="2880"/>
          </w:tcPr>
          <w:p>
            <w:r>
              <w:t>1.2签订合同后，如涉及机房装修改造，需立即向医院出具机房装修要求的各种资料。</w:t>
            </w:r>
          </w:p>
        </w:tc>
      </w:tr>
      <w:tr>
        <w:tc>
          <w:tcPr>
            <w:tcW w:type="dxa" w:w="2880"/>
            <w:vMerge/>
          </w:tcPr>
          <w:p/>
        </w:tc>
        <w:tc>
          <w:tcPr>
            <w:tcW w:type="dxa" w:w="2880"/>
            <w:vMerge/>
          </w:tcPr>
          <w:p/>
        </w:tc>
        <w:tc>
          <w:tcPr>
            <w:tcW w:type="dxa" w:w="2880"/>
          </w:tcPr>
          <w:p>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c>
          <w:tcPr>
            <w:tcW w:type="dxa" w:w="2880"/>
            <w:vMerge/>
          </w:tcPr>
          <w:p/>
        </w:tc>
        <w:tc>
          <w:tcPr>
            <w:tcW w:type="dxa" w:w="2880"/>
            <w:vMerge/>
          </w:tcPr>
          <w:p/>
        </w:tc>
        <w:tc>
          <w:tcPr>
            <w:tcW w:type="dxa" w:w="2880"/>
          </w:tcPr>
          <w:p>
            <w:r>
              <w:t>1.4提供的货物必须为全新、经检验合格的产品。产品如需要计量检定的应提供相关计量检定部门出具的合法检定报告。其中，进口设备必须具有报关证明文件、原产地证明和商检合格证明文件。</w:t>
            </w:r>
          </w:p>
        </w:tc>
      </w:tr>
      <w:tr>
        <w:tc>
          <w:tcPr>
            <w:tcW w:type="dxa" w:w="2880"/>
            <w:vMerge/>
          </w:tcPr>
          <w:p/>
        </w:tc>
        <w:tc>
          <w:tcPr>
            <w:tcW w:type="dxa" w:w="2880"/>
            <w:vMerge/>
          </w:tcPr>
          <w:p/>
        </w:tc>
        <w:tc>
          <w:tcPr>
            <w:tcW w:type="dxa" w:w="2880"/>
          </w:tcPr>
          <w:p>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c>
          <w:tcPr>
            <w:tcW w:type="dxa" w:w="2880"/>
            <w:vMerge/>
          </w:tcPr>
          <w:p/>
        </w:tc>
        <w:tc>
          <w:tcPr>
            <w:tcW w:type="dxa" w:w="2880"/>
            <w:vMerge/>
          </w:tcPr>
          <w:p/>
        </w:tc>
        <w:tc>
          <w:tcPr>
            <w:tcW w:type="dxa" w:w="2880"/>
          </w:tcPr>
          <w:p>
            <w:r>
              <w:t>2.1投标人负责将货物安全无损运抵采购人指定地点,并承担设备的包装、运输、保险、装卸、安装调试、培训、商检及计量检测、关税、增值税和进口代理等费用。</w:t>
            </w:r>
          </w:p>
        </w:tc>
      </w:tr>
      <w:tr>
        <w:tc>
          <w:tcPr>
            <w:tcW w:type="dxa" w:w="2880"/>
            <w:vMerge/>
          </w:tcPr>
          <w:p/>
        </w:tc>
        <w:tc>
          <w:tcPr>
            <w:tcW w:type="dxa" w:w="2880"/>
            <w:vMerge/>
          </w:tcPr>
          <w:p/>
        </w:tc>
        <w:tc>
          <w:tcPr>
            <w:tcW w:type="dxa" w:w="2880"/>
          </w:tcPr>
          <w:p>
            <w: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tc>
          <w:tcPr>
            <w:tcW w:type="dxa" w:w="2880"/>
            <w:vMerge/>
          </w:tcPr>
          <w:p/>
        </w:tc>
        <w:tc>
          <w:tcPr>
            <w:tcW w:type="dxa" w:w="2880"/>
            <w:vMerge/>
          </w:tcPr>
          <w:p/>
        </w:tc>
        <w:tc>
          <w:tcPr>
            <w:tcW w:type="dxa" w:w="2880"/>
          </w:tcPr>
          <w:p>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tc>
          <w:tcPr>
            <w:tcW w:type="dxa" w:w="2880"/>
            <w:vMerge/>
          </w:tcPr>
          <w:p/>
        </w:tc>
        <w:tc>
          <w:tcPr>
            <w:tcW w:type="dxa" w:w="2880"/>
            <w:vMerge/>
          </w:tcPr>
          <w:p/>
        </w:tc>
        <w:tc>
          <w:tcPr>
            <w:tcW w:type="dxa" w:w="2880"/>
          </w:tcPr>
          <w:p>
            <w:r>
              <w:t>2.4由投标人代表和采购人组成验收小组对产品进行验收。验收标准按照国家规定标准执行。经检验设备正常运作后签署验收报告,产品保修期自验收合格之日起算。</w:t>
            </w:r>
          </w:p>
        </w:tc>
      </w:tr>
      <w:tr>
        <w:tc>
          <w:tcPr>
            <w:tcW w:type="dxa" w:w="2880"/>
            <w:vMerge/>
          </w:tcPr>
          <w:p/>
        </w:tc>
        <w:tc>
          <w:tcPr>
            <w:tcW w:type="dxa" w:w="2880"/>
            <w:vMerge/>
          </w:tcPr>
          <w:p/>
        </w:tc>
        <w:tc>
          <w:tcPr>
            <w:tcW w:type="dxa" w:w="2880"/>
          </w:tcPr>
          <w:p>
            <w:r>
              <w:t>2.5设备安装过程中不得损坏安装场地内已有设备、器具和装修等物品，如有损坏，投标人应无条件恢复原状, 针对无法修复的投标人应当赔偿采购人的损失。</w:t>
            </w:r>
          </w:p>
        </w:tc>
      </w:tr>
      <w:tr>
        <w:tc>
          <w:tcPr>
            <w:tcW w:type="dxa" w:w="2880"/>
            <w:vMerge/>
          </w:tcPr>
          <w:p/>
        </w:tc>
        <w:tc>
          <w:tcPr>
            <w:tcW w:type="dxa" w:w="2880"/>
            <w:vMerge/>
          </w:tcPr>
          <w:p/>
        </w:tc>
        <w:tc>
          <w:tcPr>
            <w:tcW w:type="dxa" w:w="2880"/>
          </w:tcPr>
          <w:p>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c>
          <w:tcPr>
            <w:tcW w:type="dxa" w:w="2880"/>
            <w:vMerge/>
          </w:tcPr>
          <w:p/>
        </w:tc>
        <w:tc>
          <w:tcPr>
            <w:tcW w:type="dxa" w:w="2880"/>
            <w:vMerge/>
          </w:tcPr>
          <w:p/>
        </w:tc>
        <w:tc>
          <w:tcPr>
            <w:tcW w:type="dxa" w:w="2880"/>
          </w:tcPr>
          <w:p>
            <w:r>
              <w:t>2.7医疗设备的包装箱使用后由中标（成交）供应商负责处理。</w:t>
            </w:r>
          </w:p>
        </w:tc>
      </w:tr>
      <w:tr>
        <w:tc>
          <w:tcPr>
            <w:tcW w:type="dxa" w:w="2880"/>
            <w:vMerge/>
          </w:tcPr>
          <w:p/>
        </w:tc>
        <w:tc>
          <w:tcPr>
            <w:tcW w:type="dxa" w:w="2880"/>
            <w:vMerge/>
          </w:tcPr>
          <w:p/>
        </w:tc>
        <w:tc>
          <w:tcPr>
            <w:tcW w:type="dxa" w:w="2880"/>
          </w:tcPr>
          <w:p>
            <w:r>
              <w:t>2.8废气排放、排污等接口无条件改造为医院已有标准和制式。</w:t>
            </w:r>
          </w:p>
        </w:tc>
      </w:tr>
      <w:tr>
        <w:tc>
          <w:tcPr>
            <w:tcW w:type="dxa" w:w="2880"/>
          </w:tcPr>
          <w:p>
            <w:r>
              <w:t>3</w:t>
            </w:r>
          </w:p>
        </w:tc>
        <w:tc>
          <w:tcPr>
            <w:tcW w:type="dxa" w:w="2880"/>
          </w:tcPr>
          <w:p>
            <w:r>
              <w:t>培训</w:t>
            </w:r>
          </w:p>
        </w:tc>
        <w:tc>
          <w:tcPr>
            <w:tcW w:type="dxa" w:w="2880"/>
          </w:tcPr>
          <w:p>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c>
          <w:tcPr>
            <w:tcW w:type="dxa" w:w="2880"/>
            <w:vMerge w:val="restart"/>
          </w:tcPr>
          <w:p>
            <w:r>
              <w:t>4</w:t>
            </w:r>
          </w:p>
        </w:tc>
        <w:tc>
          <w:tcPr>
            <w:tcW w:type="dxa" w:w="2880"/>
            <w:vMerge w:val="restart"/>
          </w:tcPr>
          <w:p>
            <w:r>
              <w:t>知识产权</w:t>
            </w:r>
          </w:p>
        </w:tc>
        <w:tc>
          <w:tcPr>
            <w:tcW w:type="dxa" w:w="2880"/>
          </w:tcPr>
          <w:p>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c>
          <w:tcPr>
            <w:tcW w:type="dxa" w:w="2880"/>
            <w:vMerge/>
          </w:tcPr>
          <w:p/>
        </w:tc>
        <w:tc>
          <w:tcPr>
            <w:tcW w:type="dxa" w:w="2880"/>
            <w:vMerge/>
          </w:tcPr>
          <w:p/>
        </w:tc>
        <w:tc>
          <w:tcPr>
            <w:tcW w:type="dxa" w:w="2880"/>
          </w:tcPr>
          <w:p>
            <w:r>
              <w:t>4.2采购人购买产品后，有权对该产品与其他设备进行配套、整合或适当改进，而免受侵犯专利权的起诉。</w:t>
            </w:r>
          </w:p>
        </w:tc>
      </w:tr>
      <w:tr>
        <w:tc>
          <w:tcPr>
            <w:tcW w:type="dxa" w:w="2880"/>
          </w:tcPr>
          <w:p>
            <w:r>
              <w:t>5</w:t>
            </w:r>
          </w:p>
        </w:tc>
        <w:tc>
          <w:tcPr>
            <w:tcW w:type="dxa" w:w="2880"/>
          </w:tcPr>
          <w:p>
            <w:r>
              <w:t>付款方式</w:t>
            </w:r>
          </w:p>
        </w:tc>
        <w:tc>
          <w:tcPr>
            <w:tcW w:type="dxa" w:w="2880"/>
          </w:tcPr>
          <w:p>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c>
          <w:tcPr>
            <w:tcW w:type="dxa" w:w="2880"/>
            <w:vMerge w:val="restart"/>
          </w:tcPr>
          <w:p>
            <w:r>
              <w:t>6</w:t>
            </w:r>
          </w:p>
        </w:tc>
        <w:tc>
          <w:tcPr>
            <w:tcW w:type="dxa" w:w="2880"/>
            <w:vMerge w:val="restart"/>
          </w:tcPr>
          <w:p>
            <w:r>
              <w:t>违约责任</w:t>
            </w:r>
          </w:p>
        </w:tc>
        <w:tc>
          <w:tcPr>
            <w:tcW w:type="dxa" w:w="2880"/>
          </w:tcPr>
          <w:p>
            <w:r>
              <w:t>6.1中标人不能交货的，需偿付不能交货部分货款的  10% 的违约金并按主管部门相关规定处理。</w:t>
            </w:r>
          </w:p>
        </w:tc>
      </w:tr>
      <w:tr>
        <w:tc>
          <w:tcPr>
            <w:tcW w:type="dxa" w:w="2880"/>
            <w:vMerge/>
          </w:tcPr>
          <w:p/>
        </w:tc>
        <w:tc>
          <w:tcPr>
            <w:tcW w:type="dxa" w:w="2880"/>
            <w:vMerge/>
          </w:tcPr>
          <w:p/>
        </w:tc>
        <w:tc>
          <w:tcPr>
            <w:tcW w:type="dxa" w:w="2880"/>
          </w:tcPr>
          <w:p>
            <w:r>
              <w:t>6.2中标人逾期交货的，将被没收履约保证金并按主管部门相关规定处理。</w:t>
            </w:r>
          </w:p>
        </w:tc>
      </w:tr>
      <w:tr>
        <w:tc>
          <w:tcPr>
            <w:tcW w:type="dxa" w:w="2880"/>
            <w:vMerge/>
          </w:tcPr>
          <w:p/>
        </w:tc>
        <w:tc>
          <w:tcPr>
            <w:tcW w:type="dxa" w:w="2880"/>
            <w:vMerge/>
          </w:tcPr>
          <w:p/>
        </w:tc>
        <w:tc>
          <w:tcPr>
            <w:tcW w:type="dxa" w:w="2880"/>
          </w:tcPr>
          <w:p>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c>
          <w:tcPr>
            <w:tcW w:type="dxa" w:w="2880"/>
          </w:tcPr>
          <w:p>
            <w:r>
              <w:t>7</w:t>
            </w:r>
          </w:p>
        </w:tc>
        <w:tc>
          <w:tcPr>
            <w:tcW w:type="dxa" w:w="2880"/>
          </w:tcPr>
          <w:p>
            <w:r>
              <w:t>数据接口要求</w:t>
            </w:r>
          </w:p>
        </w:tc>
        <w:tc>
          <w:tcPr>
            <w:tcW w:type="dxa" w:w="2880"/>
          </w:tcPr>
          <w:p>
            <w:r>
              <w:t>7.1中标（成交）供应商应无偿配合医院信息科将设备连接到信息系统中，连接信息系统过程中如需产生费用则由其承担。中标（成交）供应商不能向医院信息系统如HIS、PACS、LIS等提出另行支付接口费等费用。</w:t>
            </w:r>
          </w:p>
        </w:tc>
      </w:tr>
      <w:tr>
        <w:tc>
          <w:tcPr>
            <w:tcW w:type="dxa" w:w="2880"/>
          </w:tcPr>
          <w:p>
            <w:r>
              <w:t>8</w:t>
            </w:r>
          </w:p>
        </w:tc>
        <w:tc>
          <w:tcPr>
            <w:tcW w:type="dxa" w:w="2880"/>
          </w:tcPr>
          <w:p>
            <w:r>
              <w:t>其他</w:t>
            </w:r>
          </w:p>
        </w:tc>
        <w:tc>
          <w:tcPr>
            <w:tcW w:type="dxa" w:w="2880"/>
          </w:tcPr>
          <w:p>
            <w:r>
              <w:t>8.1投标人应按其投标文件中的承诺，进行其他售后服务工作。</w:t>
            </w: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