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w:t>
              <w:tab/>
              <w:t>可用于不同动物，注射，抽取，注射后抽取，抽取再注射，连续循环</w:t>
              <w:br/>
              <w:br/>
              <w:t>2.</w:t>
              <w:tab/>
              <w:t>操作臂移动范围上下、左右、前后至少可达80mm</w:t>
              <w:br/>
              <w:br/>
              <w:t>3.</w:t>
              <w:tab/>
              <w:t>最大行程: 70mm，行程分辨率: 0.1905um/ustep</w:t>
              <w:br/>
              <w:br/>
              <w:t>4.</w:t>
              <w:tab/>
              <w:t>线速度范围：不低于0.6096um/min~91.44mm/min，调节分辨率：不低于0.6096um/min</w:t>
              <w:br/>
              <w:br/>
              <w:t>5.</w:t>
              <w:tab/>
              <w:t>行程控制精度：误差&lt;±0.35%（行程&gt;最大行程的30%时）</w:t>
              <w:br/>
              <w:br/>
              <w:t>6.</w:t>
              <w:tab/>
              <w:t>滑动调节范围为60mm，调节精度为0.1mm</w:t>
              <w:br/>
              <w:br/>
              <w:t>7.</w:t>
              <w:tab/>
              <w:t>旋转调节范围360度，调节精度为5度</w:t>
              <w:br/>
              <w:br/>
              <w:t>8.</w:t>
              <w:tab/>
              <w:t xml:space="preserve">  最大额定线性推力：&gt;1kg</w:t>
              <w:br/>
              <w:br/>
              <w:t>9.</w:t>
              <w:tab/>
              <w:t xml:space="preserve"> 推力调节：1~100%任意可调</w:t>
              <w:br/>
              <w:br/>
              <w:t>10.</w:t>
              <w:tab/>
              <w:t>可使用自定义注射器,直接输入注射器内径</w:t>
              <w:br/>
              <w:br/>
              <w:t>11.</w:t>
              <w:tab/>
              <w:t>进行液量校准</w:t>
              <w:br/>
              <w:br/>
              <w:t>12.</w:t>
              <w:tab/>
              <w:t>移动距离读数不大于精度为10μm；</w:t>
              <w:br/>
              <w:br/>
              <w:t>13.</w:t>
              <w:tab/>
              <w:t>传感器及LCD显示屏分开独立安装，方便读数；</w:t>
              <w:br/>
              <w:br/>
              <w:t>14.</w:t>
              <w:tab/>
              <w:t>不小于4.3寸的彩色液晶，触摸屏；同屏幕显示传输液量，剩余液量，流量，运行方向等，注射器规格等信息；可动画显示运行状态</w:t>
              <w:br/>
              <w:br/>
              <w:t>15.</w:t>
              <w:tab/>
              <w:t xml:space="preserve"> 保持掉电前设置参数</w:t>
              <w:br/>
              <w:br/>
              <w:t>16.</w:t>
              <w:tab/>
              <w:t>不同温度下操作仍可保持良好的精确性与灵活性</w:t>
              <w:br/>
              <w:br/>
              <w:t>17.</w:t>
              <w:tab/>
              <w:t>在Bregma点根据图谱直接进行定位</w:t>
              <w:br/>
              <w:br/>
              <w:t>18.</w:t>
              <w:tab/>
              <w:t>有垂直操作方向指示标志，防止误操作</w:t>
              <w:br/>
              <w:br/>
              <w:t>19.</w:t>
              <w:tab/>
              <w:t>状态信号输出：1路指示启停状态，1路指示方向状态</w:t>
              <w:br/>
              <w:br/>
              <w:t>20.</w:t>
              <w:tab/>
              <w:t>控制信号输入：1路下降沿触发启动，1路下降沿触发停止</w:t>
              <w:br/>
              <w:br/>
              <w:t>22.</w:t>
              <w:tab/>
              <w:t>通信接口：包含RS485，MODBUS协议</w:t>
              <w:br/>
              <w:br/>
              <w:t>23.</w:t>
              <w:tab/>
              <w:t>控制器外形尺寸(mm)：245x195x133mm（±10%）</w:t>
              <w:br/>
              <w:br/>
              <w:t>24.</w:t>
              <w:tab/>
              <w:t>执行单元尺寸（mm）：173x24.4x52mm（±10%）</w:t>
              <w:br/>
              <w:br/>
              <w:t>25.</w:t>
              <w:tab/>
              <w:t>垂直锁紧和定位钮分离，保证任意角度的精确操作</w:t>
              <w:br/>
              <w:br/>
              <w:t>26.</w:t>
              <w:tab/>
              <w:t>精确设计的侧向旋转操作空间</w:t>
              <w:br/>
              <w:br/>
              <w:t>27.</w:t>
              <w:tab/>
              <w:t>大鼠和小鼠面罩可以切换</w:t>
              <w:br/>
              <w:br/>
              <w:t>28.</w:t>
              <w:tab/>
              <w:t>进气和出气管路错开，没有直通，直径9mm</w:t>
              <w:br/>
              <w:br/>
              <w:t>29.</w:t>
              <w:tab/>
              <w:t>升级数显模块不少于2套</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立体定位注射仪</w:t>
            </w:r>
          </w:p>
        </w:tc>
        <w:tc>
          <w:tcPr>
            <w:tcW w:type="dxa" w:w="2160"/>
          </w:tcPr>
          <w:p>
            <w:r>
              <w:t>台</w:t>
            </w:r>
          </w:p>
        </w:tc>
        <w:tc>
          <w:tcPr>
            <w:tcW w:type="dxa" w:w="2160"/>
          </w:tcPr>
          <w:p>
            <w:r>
              <w:t>1</w:t>
            </w:r>
          </w:p>
        </w:tc>
      </w:tr>
      <w:tr>
        <w:tc>
          <w:tcPr>
            <w:tcW w:type="dxa" w:w="2160"/>
          </w:tcPr>
          <w:p>
            <w:r>
              <w:t>2</w:t>
            </w:r>
          </w:p>
        </w:tc>
        <w:tc>
          <w:tcPr>
            <w:tcW w:type="dxa" w:w="2160"/>
          </w:tcPr>
          <w:p>
            <w:r>
              <w:t>主机</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