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1.体积≤545×430×395(mm)，兼容性比较好，适合中小型多功能实验要求。</w:t>
              <w:br/>
              <w:br/>
              <w:t>2.微机控制，变频电机驱动。</w:t>
              <w:br/>
              <w:br/>
              <w:t>3.多彩LED显示，操作简便，显示更为清晰、直观。</w:t>
              <w:br/>
              <w:br/>
              <w:t>4.用户可根据不同实验要求设定转速，时间，离心力及升/降速档位。</w:t>
              <w:br/>
              <w:br/>
              <w:t>▲5.自动计算离心力RCF值，转速、离心力可以相互一键切换。</w:t>
              <w:br/>
              <w:br/>
              <w:t>▲6.10档加、减速控制,第9档自由停车时间可达540s以上,满足特殊分离品使用要求。</w:t>
              <w:br/>
              <w:br/>
              <w:t>▲7.设有短时离心专用点动键。</w:t>
              <w:br/>
              <w:br/>
              <w:t>▲8.采用电子门锁，设有超速、不平衡等多种保护，增强安全性。</w:t>
              <w:br/>
              <w:br/>
              <w:t>9.配备多种容量转子，适用不同实验需要。</w:t>
              <w:br/>
              <w:br/>
              <w:t>▲10.最高转速可达20500rpm</w:t>
              <w:tab/>
              <w:br/>
              <w:br/>
              <w:t>▲11.总功率≤</w:t>
              <w:tab/>
              <w:t>550W</w:t>
              <w:br/>
              <w:br/>
              <w:t>▲12.最大相对离心力可达31785×g</w:t>
              <w:tab/>
              <w:br/>
              <w:br/>
              <w:t>▲13.整机噪声≤ 65dB（A）</w:t>
              <w:br/>
              <w:br/>
              <w:t>▲14.最大容量可达4×100ml</w:t>
              <w:tab/>
              <w:br/>
              <w:br/>
              <w:t>15.离心腔直径≥Φ320mm</w:t>
              <w:br/>
              <w:br/>
              <w:t>16.定时范围：1min～99min</w:t>
              <w:tab/>
              <w:br/>
              <w:br/>
              <w:t>▲17.转速精度±10r/min</w:t>
              <w:tab/>
              <w:br/>
              <w:br/>
              <w:t>18.净重量≤35kg</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高速离心机整机</w:t>
            </w:r>
          </w:p>
        </w:tc>
        <w:tc>
          <w:tcPr>
            <w:tcW w:type="dxa" w:w="2160"/>
          </w:tcPr>
          <w:p>
            <w:r>
              <w:t>台</w:t>
            </w:r>
          </w:p>
        </w:tc>
        <w:tc>
          <w:tcPr>
            <w:tcW w:type="dxa" w:w="2160"/>
          </w:tcPr>
          <w:p>
            <w:r>
              <w:t>1</w:t>
            </w:r>
          </w:p>
        </w:tc>
      </w:tr>
      <w:tr>
        <w:tc>
          <w:tcPr>
            <w:tcW w:type="dxa" w:w="2160"/>
          </w:tcPr>
          <w:p>
            <w:r>
              <w:t>2</w:t>
            </w:r>
          </w:p>
        </w:tc>
        <w:tc>
          <w:tcPr>
            <w:tcW w:type="dxa" w:w="2160"/>
          </w:tcPr>
          <w:p>
            <w:r>
              <w:t>电源线</w:t>
            </w:r>
          </w:p>
        </w:tc>
        <w:tc>
          <w:tcPr>
            <w:tcW w:type="dxa" w:w="2160"/>
          </w:tcPr>
          <w:p>
            <w:r>
              <w:t>根</w:t>
            </w:r>
          </w:p>
        </w:tc>
        <w:tc>
          <w:tcPr>
            <w:tcW w:type="dxa" w:w="2160"/>
          </w:tcPr>
          <w:p>
            <w:r>
              <w:t>1</w:t>
            </w:r>
          </w:p>
        </w:tc>
      </w:tr>
      <w:tr>
        <w:tc>
          <w:tcPr>
            <w:tcW w:type="dxa" w:w="2160"/>
          </w:tcPr>
          <w:p>
            <w:r>
              <w:t>3</w:t>
            </w:r>
          </w:p>
        </w:tc>
        <w:tc>
          <w:tcPr>
            <w:tcW w:type="dxa" w:w="2160"/>
          </w:tcPr>
          <w:p>
            <w:r>
              <w:t>说明书</w:t>
            </w:r>
          </w:p>
        </w:tc>
        <w:tc>
          <w:tcPr>
            <w:tcW w:type="dxa" w:w="2160"/>
          </w:tcPr>
          <w:p>
            <w:r>
              <w:t>份</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