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w:t>
              <w:tab/>
              <w:t>功能可支持样品管理、实验管理、数据管理、报告管理、多种临床检测应用的信息分析、权限设置。</w:t>
              <w:br/>
              <w:br/>
              <w:t>2. ▲与网络有物理隔绝，本地化存储、分析、出具报告，最大限度保证人类遗传基因信息的安全。</w:t>
              <w:br/>
              <w:br/>
              <w:t>3.</w:t>
              <w:tab/>
              <w:t>检测涵盖≥17000种病原微生物，包括病毒、细菌、真菌、寄生虫、分枝杆菌、支原体/衣原体等，为疑难危重感染提供快速精准诊断依据。</w:t>
              <w:br/>
              <w:br/>
              <w:t>4.</w:t>
              <w:tab/>
              <w:t>▲检测软件：具备成熟的病原检测相关信息分析软件，并获得二类和三类医疗器械注册证。（需提供注册证）。</w:t>
              <w:br/>
              <w:br/>
              <w:t>5.</w:t>
              <w:tab/>
              <w:t>检测项目多元化，可支持DNA/RNA病原微生物高通量检测。具有可扩展性，可同时支持2种以上产品分析（病原/肿瘤/WES）且每种项目都具有三类医疗器械注册证，可用于临床。</w:t>
              <w:br/>
              <w:br/>
              <w:t>6.</w:t>
              <w:tab/>
              <w:t>信息系统支持分布式部署，能满足动态计算资源调用。</w:t>
              <w:br/>
              <w:br/>
              <w:t>7.</w:t>
              <w:tab/>
              <w:t>硬盘：960G固态硬盘*2+2.4T热插拔硬盘18块以上。</w:t>
              <w:br/>
              <w:br/>
              <w:t>8.</w:t>
              <w:tab/>
              <w:t>CPU：4*Intel(R)Xeon(R)Gold 6348H 2.3GHz24C以上。</w:t>
              <w:br/>
              <w:br/>
              <w:t>9.</w:t>
              <w:tab/>
              <w:t xml:space="preserve">内存≥768G。 </w:t>
              <w:br/>
              <w:br/>
              <w:t>10.</w:t>
              <w:tab/>
              <w:t>▲可配套使用基因测序仪，且测序仪具有NMPA认证，在临床上用于对来源于人体样本的脱氧核糖核酸（DNA）和核糖核酸（RNA）进行测序，以检测基因序列，这些基因序列可用于辅助诊断疾病或疾病易感性。</w:t>
              <w:br/>
              <w:br/>
              <w:t>11.</w:t>
              <w:tab/>
              <w:t xml:space="preserve">▲可开展低深度全基因组测序、靶向捕获/多重测序、小型基因组测序、RNA测序、全外显子测序等科研应用，可开展胎儿染色体异常无创产前基因检测、胚胎植入前染色体异常检测、单基因遗传病基因检测、遗传性肿瘤基因检测、泛癌种个体化诊疗基因检测、肺癌个体化诊疗基因检测、宏基因组检测等临床应用（以上临床应用可提供解决方案）。 </w:t>
              <w:br/>
              <w:br/>
              <w:t>12.</w:t>
              <w:tab/>
              <w:t>测序仪及试剂、芯片全部为国产。</w:t>
              <w:br/>
              <w:br/>
              <w:t>13.</w:t>
              <w:tab/>
              <w:t>测序仪控制软件：可实现中英文双语控制系统切换。</w:t>
              <w:br/>
              <w:br/>
              <w:t>14.</w:t>
              <w:tab/>
              <w:t>▲检测样本量：一次性可灵活选择处理4～12份样品（每个样本平均可达42～100M reads）。</w:t>
              <w:br/>
              <w:br/>
              <w:t>15.</w:t>
              <w:tab/>
              <w:t>检测准确率：种属鉴定准确性≥99%。</w:t>
              <w:br/>
              <w:br/>
              <w:t>16.</w:t>
              <w:tab/>
              <w:t>样品类型多样化，可检测静脉血、脑脊液、肺泡灌洗液、痰液、其他无菌体液。</w:t>
              <w:br/>
              <w:br/>
              <w:t>17.</w:t>
              <w:tab/>
              <w:t xml:space="preserve">运行时间：从标本进入检测流程到电子报告发出的时间≤24小时（病原微生物检测） </w:t>
              <w:br/>
              <w:br/>
              <w:t>18.</w:t>
              <w:tab/>
              <w:t>▲可配套使用单次运行最高可产出可达150G碱基的序列信息，以满足检测需求。</w:t>
              <w:br/>
              <w:br/>
              <w:t>19.</w:t>
              <w:tab/>
              <w:t>序列数目：单张芯片单次运行最高可达到500M有效信号点。</w:t>
              <w:br/>
              <w:br/>
              <w:t>20.</w:t>
              <w:tab/>
              <w:t>平台：配置两种规格芯片，满足不同业务需求。高通量芯片（FCL）能满足≥500M 有效信号点，中通量芯片（FCS）能满足≥100M 有效信号点。</w:t>
              <w:br/>
              <w:br/>
              <w:t>21.</w:t>
              <w:tab/>
              <w:t>▲序列读长：SE50、SE100、PE50、PE100、PE150 bp可选，且有成熟试剂盒已获药监局批准可用于临床。样本标签序列≥9个碱基（bp），可提高样本识别的精确度。</w:t>
              <w:br/>
              <w:br/>
              <w:t>22.</w:t>
              <w:tab/>
              <w:t>芯片：采用规则阵列技术，具有密度大，避免荧光信号交叉影响。</w:t>
              <w:br/>
              <w:br/>
              <w:t>23.</w:t>
              <w:tab/>
              <w:t>数据质量：使用标准文库SE50，PE100， Q30≥85%。</w:t>
              <w:br/>
              <w:br/>
              <w:t>24.</w:t>
              <w:tab/>
              <w:t>检测模式：可提供一键测序模式。</w:t>
              <w:br/>
              <w:br/>
              <w:t>25.</w:t>
              <w:tab/>
              <w:t>▲自动化信息分析：为保证生物数据的安全，基因测序仪的服务器，配有专业的数据处理分析软件，软件支持全功能、本地化离线处理功能，测序原始数据无需联网即可完成数据的存储、分析、生成报告报告等全部操作。</w:t>
              <w:br/>
              <w:br/>
              <w:t>26.</w:t>
              <w:tab/>
              <w:t>仪器适用海拔为 0～3000 米，在≤7级海况(抗振荡性强)下可以正常运行,可支持高海拔、低气压环境中也能开展检测服务项目。</w:t>
              <w:br/>
              <w:br/>
              <w:t>27.</w:t>
              <w:tab/>
              <w:t>▲配置要求：</w:t>
              <w:br/>
              <w:br/>
              <w:t>测序分析系统1套中配有测序仪 1台，测序仪一体机1台，荧光定量仪1台，</w:t>
              <w:br/>
              <w:br/>
              <w:t>自动化提取建库仪1台，破壁仪1台，不间断电源1套。</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测序分析系统</w:t>
            </w:r>
          </w:p>
        </w:tc>
        <w:tc>
          <w:tcPr>
            <w:tcW w:type="dxa" w:w="2160"/>
          </w:tcPr>
          <w:p>
            <w:r>
              <w:t>套</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