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定制技术参数：</w:t>
              <w:br/>
              <w:br/>
              <w:t>1.整机尺寸：参考尺寸长968×宽700×高880 mm ，误差不大于±10%，具体尺寸需要现场测量后制定；</w:t>
              <w:br/>
              <w:br/>
              <w:t>2.内槽尺寸：长715×宽380×高320 mm，误差不大于±10%，具体尺寸需要现场测量后制定；</w:t>
              <w:br/>
              <w:br/>
              <w:t>3.工作窗尺寸：长680×宽360×高300 mm，误差不大于±10%，具体尺寸需要现场测量后制定；</w:t>
              <w:br/>
              <w:br/>
              <w:t>4.加热功率要求：7000~8000W</w:t>
              <w:br/>
              <w:br/>
              <w:t>5.工作电压要求：380V</w:t>
              <w:br/>
              <w:br/>
              <w:t>6.数显控制面板，操作简单，可实时监视和控制温度；</w:t>
              <w:br/>
              <w:br/>
              <w:t>7.温控范围：可调区间不小于室温-99℃；时间范围：可调区间不小于1-99分钟；消毒时间与消毒温度可调，能有效达到煮沸消毒；</w:t>
              <w:br/>
              <w:br/>
              <w:t>8.全智能自动设计，具有自动进水/排水/加热/加热恒温功能；</w:t>
              <w:br/>
              <w:br/>
              <w:t>9.▲工作水位：高/低2个可选工作水位，少水自动补充功能；</w:t>
              <w:br/>
              <w:br/>
              <w:t>10.▲采用人性化设计，工作时可使用脚踏控制完全代替人手操作，配三组脚踏控制：脚踏上升键、脚踏开始煮沸消毒键、脚踏下降键，可直接脚控启动消毒，彻底解放双手；</w:t>
              <w:br/>
              <w:br/>
              <w:t>11.▲工作窗升降方式：自动升降型，可脚踏控制或手动控制升降工作窗，还具备消毒完成时工作窗自动升起功能；下降保护方式：具有工作窗一键式紧急上升保护的开关按钮；</w:t>
              <w:br/>
              <w:br/>
              <w:t>12.水位低保护功能：水位低时自动停止加热；</w:t>
              <w:br/>
              <w:br/>
              <w:t>13.进水超时保护功能：进水超过设定时间，停止进水，防止水流溢出；</w:t>
              <w:br/>
              <w:br/>
              <w:t>14.抗压盖：盖子半开式，具有抗压功能，工作窗前面部份具机械防夹功能，并可自由打开，方便随取随放；</w:t>
              <w:br/>
              <w:br/>
              <w:t>15.采用优质304不锈钢精制而成，坚固耐用，细菌附着率低；</w:t>
              <w:br/>
              <w:br/>
              <w:t>16.具有二类注册证。</w:t>
              <w:br/>
              <w:br/>
              <w:t>17.▲气流回收系统：</w:t>
              <w:br/>
              <w:br/>
              <w:t>1)对蒸汽回收采用负压式吸收和过滤后排走，整机由304不锈钢和高透明亚克力组成；</w:t>
              <w:br/>
              <w:br/>
              <w:t>2)风机采用变频工作，自动化控制，能有效对应工作窗上升和关闭状态；</w:t>
              <w:br/>
              <w:br/>
              <w:t>3)联机通信设计，能采集煮沸器的消毒情况而有效的变频工作；</w:t>
              <w:br/>
              <w:br/>
              <w:t>4)过滤网采用优质材料，能有效将水气过滤并转换为水份；</w:t>
              <w:br/>
              <w:br/>
              <w:t>5)气流量：1900-2700每小时立方，风机功率：0.3~0.5KW；</w:t>
              <w:br/>
              <w:br/>
              <w:t>6)配置远红外对射型防夹保护装置，有物品阻挡时不会下降工作窗，下降中途突然遇到物品阻挡时会自动上升功能。</w:t>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煮沸消毒器主机</w:t>
            </w:r>
          </w:p>
        </w:tc>
        <w:tc>
          <w:tcPr>
            <w:tcW w:type="dxa" w:w="2160"/>
          </w:tcPr>
          <w:p>
            <w:r>
              <w:t>台</w:t>
            </w:r>
          </w:p>
        </w:tc>
        <w:tc>
          <w:tcPr>
            <w:tcW w:type="dxa" w:w="2160"/>
          </w:tcPr>
          <w:p>
            <w:r>
              <w:t>1</w:t>
            </w:r>
          </w:p>
        </w:tc>
      </w:tr>
      <w:tr>
        <w:tc>
          <w:tcPr>
            <w:tcW w:type="dxa" w:w="2160"/>
          </w:tcPr>
          <w:p>
            <w:r>
              <w:t>2</w:t>
            </w:r>
          </w:p>
        </w:tc>
        <w:tc>
          <w:tcPr>
            <w:tcW w:type="dxa" w:w="2160"/>
          </w:tcPr>
          <w:p>
            <w:r>
              <w:t>气流回收系统</w:t>
            </w:r>
          </w:p>
        </w:tc>
        <w:tc>
          <w:tcPr>
            <w:tcW w:type="dxa" w:w="2160"/>
          </w:tcPr>
          <w:p>
            <w:r>
              <w:t>套</w:t>
            </w:r>
          </w:p>
        </w:tc>
        <w:tc>
          <w:tcPr>
            <w:tcW w:type="dxa" w:w="2160"/>
          </w:tcPr>
          <w:p>
            <w:r>
              <w:t>1</w:t>
            </w:r>
          </w:p>
        </w:tc>
      </w:tr>
      <w:tr>
        <w:tc>
          <w:tcPr>
            <w:tcW w:type="dxa" w:w="2160"/>
          </w:tcPr>
          <w:p>
            <w:r>
              <w:t>3</w:t>
            </w:r>
          </w:p>
        </w:tc>
        <w:tc>
          <w:tcPr>
            <w:tcW w:type="dxa" w:w="2160"/>
          </w:tcPr>
          <w:p>
            <w:r>
              <w:t>排水管</w:t>
            </w:r>
          </w:p>
        </w:tc>
        <w:tc>
          <w:tcPr>
            <w:tcW w:type="dxa" w:w="2160"/>
          </w:tcPr>
          <w:p>
            <w:r>
              <w:t>条</w:t>
            </w:r>
          </w:p>
        </w:tc>
        <w:tc>
          <w:tcPr>
            <w:tcW w:type="dxa" w:w="2160"/>
          </w:tcPr>
          <w:p>
            <w:r>
              <w:t>1</w:t>
            </w:r>
          </w:p>
        </w:tc>
      </w:tr>
      <w:tr>
        <w:tc>
          <w:tcPr>
            <w:tcW w:type="dxa" w:w="2160"/>
          </w:tcPr>
          <w:p>
            <w:r>
              <w:t>4</w:t>
            </w:r>
          </w:p>
        </w:tc>
        <w:tc>
          <w:tcPr>
            <w:tcW w:type="dxa" w:w="2160"/>
          </w:tcPr>
          <w:p>
            <w:r>
              <w:t>进水管</w:t>
            </w:r>
          </w:p>
        </w:tc>
        <w:tc>
          <w:tcPr>
            <w:tcW w:type="dxa" w:w="2160"/>
          </w:tcPr>
          <w:p>
            <w:r>
              <w:t>条</w:t>
            </w:r>
          </w:p>
        </w:tc>
        <w:tc>
          <w:tcPr>
            <w:tcW w:type="dxa" w:w="2160"/>
          </w:tcPr>
          <w:p>
            <w:r>
              <w:t>1</w:t>
            </w:r>
          </w:p>
        </w:tc>
      </w:tr>
      <w:tr>
        <w:tc>
          <w:tcPr>
            <w:tcW w:type="dxa" w:w="2160"/>
          </w:tcPr>
          <w:p>
            <w:r>
              <w:t>5</w:t>
            </w:r>
          </w:p>
        </w:tc>
        <w:tc>
          <w:tcPr>
            <w:tcW w:type="dxa" w:w="2160"/>
          </w:tcPr>
          <w:p>
            <w:r>
              <w:t>说明书</w:t>
            </w:r>
          </w:p>
        </w:tc>
        <w:tc>
          <w:tcPr>
            <w:tcW w:type="dxa" w:w="2160"/>
          </w:tcPr>
          <w:p>
            <w:r>
              <w:t>份</w:t>
            </w:r>
          </w:p>
        </w:tc>
        <w:tc>
          <w:tcPr>
            <w:tcW w:type="dxa" w:w="2160"/>
          </w:tcPr>
          <w:p>
            <w:r>
              <w:t>1</w:t>
            </w:r>
          </w:p>
        </w:tc>
      </w:tr>
      <w:tr>
        <w:tc>
          <w:tcPr>
            <w:tcW w:type="dxa" w:w="2160"/>
          </w:tcPr>
          <w:p>
            <w:r>
              <w:t>6</w:t>
            </w:r>
          </w:p>
        </w:tc>
        <w:tc>
          <w:tcPr>
            <w:tcW w:type="dxa" w:w="2160"/>
          </w:tcPr>
          <w:p>
            <w:r>
              <w:t>合格证</w:t>
            </w:r>
          </w:p>
        </w:tc>
        <w:tc>
          <w:tcPr>
            <w:tcW w:type="dxa" w:w="2160"/>
          </w:tcPr>
          <w:p>
            <w:r>
              <w:t>份</w:t>
            </w:r>
          </w:p>
        </w:tc>
        <w:tc>
          <w:tcPr>
            <w:tcW w:type="dxa" w:w="2160"/>
          </w:tcPr>
          <w:p>
            <w:r>
              <w:t>1</w:t>
            </w:r>
          </w:p>
        </w:tc>
      </w:tr>
      <w:tr>
        <w:tc>
          <w:tcPr>
            <w:tcW w:type="dxa" w:w="2160"/>
          </w:tcPr>
          <w:p>
            <w:r>
              <w:t>7</w:t>
            </w:r>
          </w:p>
        </w:tc>
        <w:tc>
          <w:tcPr>
            <w:tcW w:type="dxa" w:w="2160"/>
          </w:tcPr>
          <w:p>
            <w:r>
              <w:t>保修卡</w:t>
            </w:r>
          </w:p>
        </w:tc>
        <w:tc>
          <w:tcPr>
            <w:tcW w:type="dxa" w:w="2160"/>
          </w:tcPr>
          <w:p>
            <w:r>
              <w:t>份</w:t>
            </w:r>
          </w:p>
        </w:tc>
        <w:tc>
          <w:tcPr>
            <w:tcW w:type="dxa" w:w="2160"/>
          </w:tcPr>
          <w:p>
            <w:r>
              <w:t>1</w:t>
            </w:r>
          </w:p>
        </w:tc>
      </w:tr>
      <w:tr>
        <w:tc>
          <w:tcPr>
            <w:tcW w:type="dxa" w:w="2160"/>
          </w:tcPr>
          <w:p>
            <w:r>
              <w:t>8</w:t>
            </w:r>
          </w:p>
        </w:tc>
        <w:tc>
          <w:tcPr>
            <w:tcW w:type="dxa" w:w="2160"/>
          </w:tcPr>
          <w:p>
            <w:r>
              <w:t>简易操作说明</w:t>
            </w:r>
          </w:p>
        </w:tc>
        <w:tc>
          <w:tcPr>
            <w:tcW w:type="dxa" w:w="2160"/>
          </w:tcPr>
          <w:p>
            <w:r>
              <w:t>份</w:t>
            </w:r>
          </w:p>
        </w:tc>
        <w:tc>
          <w:tcPr>
            <w:tcW w:type="dxa" w:w="2160"/>
          </w:tcPr>
          <w:p>
            <w:r>
              <w:t>1</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3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