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设备技术参数表</w:t>
              <w:br/>
              <w:br/>
              <w:br/>
              <w:br/>
              <w:t>▲1、内部容积：不小于 682升，2 英寸冻存盒的存放数量：不少于 500 个。</w:t>
              <w:br/>
              <w:br/>
              <w:t>▲2、外部尺寸：高度≤1985mm，深度≤980mm，宽度≤865mm，单位样品量储存占地最小化。</w:t>
              <w:br/>
              <w:br/>
              <w:t>3、工作温度范围:-50℃∽-86℃，微电脑控制，PT1000 控制探头，工作温度设定点可调节。</w:t>
              <w:br/>
              <w:br/>
              <w:t>▲4、制冷系统: 2台不低于797W国际知名品牌工业级高效压缩机层叠制冷；空载情况下，内外门全开一分钟后关闭，冰箱回温到 -75℃ 的时间不超过 16分钟。</w:t>
              <w:br/>
              <w:br/>
              <w:t>5、制冷剂为完全无氟碳氢制冷剂乙烷（R170）和丙烷 (R290) ，节能环保。</w:t>
              <w:br/>
              <w:br/>
              <w:t>▲6、整机内置7个温度探头，全面监控超低温冰箱腔体温度、环境温度、热交换器温度、蒸发器入口温度、蒸发器出口温度、一级吸气管温度、二级吸气管温度等，确保冰箱顺利运行；其中不少于5个温度探头的数据工程师可直接导出，有助于故障原因的快速判断。</w:t>
              <w:br/>
              <w:br/>
              <w:t>7、创新的超薄保温结构设计：2.5厘米厚真空绝热板，结合环保、水发泡沫绝热材料，显著增强保温性能及腔体存储空间。</w:t>
              <w:br/>
              <w:br/>
              <w:t>▲8、标配四扇聚苯乙烯泡沫绝热内门，减少冷气丢失；嵌入式磁铁门闩，防止传统插销式门把的结冰情况；内门可在不使用工具的情况下拆卸，便于定期清洗。</w:t>
              <w:br/>
              <w:br/>
              <w:t>9、具有良好的保温性能，室温20℃断电时，空载的情况下从 -80℃ 升温到 -50℃ 的时间不低于312分钟。</w:t>
              <w:br/>
              <w:br/>
              <w:t>10、箱体结构：内外冷轧钢壁，高强度、耐刮擦的粉末涂层外壁。</w:t>
              <w:br/>
              <w:br/>
              <w:t>11、标配3块不锈钢搁板, 隔板数量可增加，可调节高度；最大承重不低于91KG。</w:t>
              <w:br/>
              <w:br/>
              <w:t>▲12、创新四点七层电加热式密封条，有效防止门封条及周边结霜，确保最佳密封保温效果；加热器嵌入门内，确保热量不会进入样品存储区域。</w:t>
              <w:br/>
              <w:br/>
              <w:t>13、工业级门铰链不易变形，确保良好的密封性。</w:t>
              <w:br/>
              <w:br/>
              <w:t>14、外门配有带加热功能的自动减压阀，可在关门后迅速平衡冰箱门内外压差，方便高度密封的外门在1分钟左右的时间内再次单手轻松开启。</w:t>
              <w:br/>
              <w:br/>
              <w:t>15、符合人体工程学的单手操作门把手，可锁定并可同时增加一挂锁，提高安全性。</w:t>
              <w:br/>
              <w:br/>
              <w:t>16、冷凝器过滤网易拆卸，可水洗, 保护冷凝器免沾灰尘，提高制冷性能。</w:t>
              <w:br/>
              <w:br/>
              <w:t>17、重型脚轮，方便移动和固定冰箱。</w:t>
              <w:br/>
              <w:br/>
              <w:t xml:space="preserve">▲18、用户界面：不小于5.6英寸电容式触摸按键屏, 清晰的数字温度显示, 面板上的图标直观显示冰箱运行健康状态、以及超温、门半开或电源故障等警报状态。 </w:t>
              <w:br/>
              <w:br/>
              <w:t>19、具有三位数密码保护，安全管理温度设置和报警设置，防止无关人员随意篡改。</w:t>
              <w:br/>
              <w:br/>
              <w:t>▲20、通过控制面板，可进行运行温度和报警温度设置，温度过高警报测试功能，以及温度校准补偿功能。</w:t>
              <w:br/>
              <w:br/>
              <w:t>21、控制操作面板高度：1.4至1.5米，方便查看和设置参数。</w:t>
              <w:br/>
              <w:br/>
              <w:t>22、控制面板具有屏幕防水设计，可以有效防止清洁时液体进入损坏控制器。</w:t>
              <w:br/>
              <w:br/>
              <w:t>23、标配2个1” (25mm) 预留外接端口，可连接外部探头或仪器。</w:t>
              <w:br/>
              <w:br/>
              <w:t>▲24、完善的温度数据和报警信号通信端口：标配RS485,4-20 毫安输出端口及Dry Contact远程报警接口。</w:t>
              <w:br/>
              <w:br/>
              <w:t>25、冰箱底部装有消声器和吸音泡沫，能大大减少噪音，运行分贝不超过50dBA。</w:t>
              <w:br/>
              <w:br/>
              <w:t>26、可以选配液态CO2和液氮后备制冷系统，可在断电和冰箱故障时启动，使样品保持-60℃以下低温。</w:t>
              <w:br/>
              <w:br/>
              <w:t>27、可选配6英寸(15.2cm)图表温度记录仪，连续记录七天温度，符合验证和法规要求。</w:t>
              <w:br/>
              <w:br/>
              <w:t>▲28、符合多项权威认证：ISO认证</w:t>
              <w:br/>
              <w:br/>
              <w:br/>
              <w:br/>
              <w:t>配置清单</w:t>
              <w:br/>
              <w:br/>
              <w:br/>
              <w:br/>
              <w:t>1、超低温冰箱主机1台</w:t>
              <w:br/>
              <w:br/>
              <w:t>2、内门4个</w:t>
              <w:br/>
              <w:br/>
              <w:t>3、搁板3块</w:t>
              <w:br/>
              <w:br/>
              <w:t>4、脚轮4个</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超低温冰箱主机</w:t>
            </w:r>
          </w:p>
        </w:tc>
        <w:tc>
          <w:tcPr>
            <w:tcW w:type="dxa" w:w="2160"/>
          </w:tcPr>
          <w:p>
            <w:r>
              <w:t>台</w:t>
            </w:r>
          </w:p>
        </w:tc>
        <w:tc>
          <w:tcPr>
            <w:tcW w:type="dxa" w:w="2160"/>
          </w:tcPr>
          <w:p>
            <w:r>
              <w:t>1</w:t>
            </w:r>
          </w:p>
        </w:tc>
      </w:tr>
      <w:tr>
        <w:tc>
          <w:tcPr>
            <w:tcW w:type="dxa" w:w="2160"/>
          </w:tcPr>
          <w:p>
            <w:r>
              <w:t>2</w:t>
            </w:r>
          </w:p>
        </w:tc>
        <w:tc>
          <w:tcPr>
            <w:tcW w:type="dxa" w:w="2160"/>
          </w:tcPr>
          <w:p>
            <w:r>
              <w:t>内门</w:t>
            </w:r>
          </w:p>
        </w:tc>
        <w:tc>
          <w:tcPr>
            <w:tcW w:type="dxa" w:w="2160"/>
          </w:tcPr>
          <w:p>
            <w:r>
              <w:t>个</w:t>
            </w:r>
          </w:p>
        </w:tc>
        <w:tc>
          <w:tcPr>
            <w:tcW w:type="dxa" w:w="2160"/>
          </w:tcPr>
          <w:p>
            <w:r>
              <w:t>4</w:t>
            </w:r>
          </w:p>
        </w:tc>
      </w:tr>
      <w:tr>
        <w:tc>
          <w:tcPr>
            <w:tcW w:type="dxa" w:w="2160"/>
          </w:tcPr>
          <w:p>
            <w:r>
              <w:t>3</w:t>
            </w:r>
          </w:p>
        </w:tc>
        <w:tc>
          <w:tcPr>
            <w:tcW w:type="dxa" w:w="2160"/>
          </w:tcPr>
          <w:p>
            <w:r>
              <w:t>搁板</w:t>
            </w:r>
          </w:p>
        </w:tc>
        <w:tc>
          <w:tcPr>
            <w:tcW w:type="dxa" w:w="2160"/>
          </w:tcPr>
          <w:p>
            <w:r>
              <w:t>个</w:t>
            </w:r>
          </w:p>
        </w:tc>
        <w:tc>
          <w:tcPr>
            <w:tcW w:type="dxa" w:w="2160"/>
          </w:tcPr>
          <w:p>
            <w:r>
              <w:t>3</w:t>
            </w:r>
          </w:p>
        </w:tc>
      </w:tr>
      <w:tr>
        <w:tc>
          <w:tcPr>
            <w:tcW w:type="dxa" w:w="2160"/>
          </w:tcPr>
          <w:p>
            <w:r>
              <w:t>4</w:t>
            </w:r>
          </w:p>
        </w:tc>
        <w:tc>
          <w:tcPr>
            <w:tcW w:type="dxa" w:w="2160"/>
          </w:tcPr>
          <w:p>
            <w:r>
              <w:t>脚轮</w:t>
            </w:r>
          </w:p>
        </w:tc>
        <w:tc>
          <w:tcPr>
            <w:tcW w:type="dxa" w:w="2160"/>
          </w:tcPr>
          <w:p>
            <w:r>
              <w:t>个</w:t>
            </w:r>
          </w:p>
        </w:tc>
        <w:tc>
          <w:tcPr>
            <w:tcW w:type="dxa" w:w="2160"/>
          </w:tcPr>
          <w:p>
            <w:r>
              <w:t>4</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