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1、货物名称：等离子手术设备，</w:t>
              <w:br/>
              <w:br/>
              <w:t>2、技术要求：</w:t>
              <w:br/>
              <w:br/>
              <w:t>一、适用范围：在医疗机构中使用， 与等离子手术电极配套使用（可配用型号见产品技术要求），在生理盐水环境下，对软骨及周围软组织的汽化、凝血。</w:t>
              <w:br/>
              <w:br/>
              <w:t>二、输出频率：≥100KHz</w:t>
              <w:br/>
              <w:br/>
              <w:t>三、输出功率：电切≥7档，电凝≥4档。</w:t>
              <w:br/>
              <w:br/>
              <w:t>四、功能</w:t>
              <w:br/>
              <w:br/>
              <w:t>1、电切：使用等离子技术消融软组织，低温高效，温度≤55℃</w:t>
              <w:br/>
              <w:br/>
              <w:t>2、电凝：使用等离子技术对伤口进行热凝止血，保证术野清晰，≤70</w:t>
              <w:br/>
              <w:br/>
              <w:t>3、自检：开机后先进行自检，如有错误、故障等屏幕会提醒使用者</w:t>
              <w:br/>
              <w:br/>
              <w:t>4、工作温度在40~70℃。</w:t>
              <w:br/>
              <w:br/>
              <w:t>5、实时监测，每次电切、电凝时间都累计在屏幕上，让术者对手术情况掌握得更好。</w:t>
              <w:br/>
              <w:br/>
              <w:t>6、兼容性强，多种接口。</w:t>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等离子手术设备主机</w:t>
            </w:r>
          </w:p>
        </w:tc>
        <w:tc>
          <w:tcPr>
            <w:tcW w:type="dxa" w:w="2160"/>
          </w:tcPr>
          <w:p>
            <w:r>
              <w:t>个</w:t>
            </w:r>
          </w:p>
        </w:tc>
        <w:tc>
          <w:tcPr>
            <w:tcW w:type="dxa" w:w="2160"/>
          </w:tcPr>
          <w:p>
            <w:r>
              <w:t>1</w:t>
            </w:r>
          </w:p>
        </w:tc>
      </w:tr>
      <w:tr>
        <w:tc>
          <w:tcPr>
            <w:tcW w:type="dxa" w:w="2160"/>
          </w:tcPr>
          <w:p>
            <w:r>
              <w:t>2</w:t>
            </w:r>
          </w:p>
        </w:tc>
        <w:tc>
          <w:tcPr>
            <w:tcW w:type="dxa" w:w="2160"/>
          </w:tcPr>
          <w:p>
            <w:r>
              <w:t>脚踏板开关组成</w:t>
            </w:r>
          </w:p>
        </w:tc>
        <w:tc>
          <w:tcPr>
            <w:tcW w:type="dxa" w:w="2160"/>
          </w:tcPr>
          <w:p>
            <w:r>
              <w:t>个</w:t>
            </w:r>
          </w:p>
        </w:tc>
        <w:tc>
          <w:tcPr>
            <w:tcW w:type="dxa" w:w="2160"/>
          </w:tcPr>
          <w:p>
            <w:r>
              <w:t>1</w:t>
            </w:r>
          </w:p>
        </w:tc>
      </w:tr>
      <w:tr>
        <w:tc>
          <w:tcPr>
            <w:tcW w:type="dxa" w:w="2160"/>
          </w:tcPr>
          <w:p>
            <w:r>
              <w:t>3</w:t>
            </w:r>
          </w:p>
        </w:tc>
        <w:tc>
          <w:tcPr>
            <w:tcW w:type="dxa" w:w="2160"/>
          </w:tcPr>
          <w:p>
            <w:r>
              <w:t>使用说明书</w:t>
            </w:r>
          </w:p>
        </w:tc>
        <w:tc>
          <w:tcPr>
            <w:tcW w:type="dxa" w:w="2160"/>
          </w:tcPr>
          <w:p>
            <w:r>
              <w:t>本</w:t>
            </w:r>
          </w:p>
        </w:tc>
        <w:tc>
          <w:tcPr>
            <w:tcW w:type="dxa" w:w="2160"/>
          </w:tcPr>
          <w:p>
            <w:r>
              <w:t>1</w:t>
            </w:r>
          </w:p>
        </w:tc>
      </w:tr>
      <w:tr>
        <w:tc>
          <w:tcPr>
            <w:tcW w:type="dxa" w:w="2160"/>
          </w:tcPr>
          <w:p>
            <w:r>
              <w:t>4</w:t>
            </w:r>
          </w:p>
        </w:tc>
        <w:tc>
          <w:tcPr>
            <w:tcW w:type="dxa" w:w="2160"/>
          </w:tcPr>
          <w:p>
            <w:r>
              <w:t>合格证</w:t>
            </w:r>
          </w:p>
        </w:tc>
        <w:tc>
          <w:tcPr>
            <w:tcW w:type="dxa" w:w="2160"/>
          </w:tcPr>
          <w:p>
            <w:r>
              <w:t>张</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