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b/>
          <w:sz w:val="44"/>
          <w:szCs w:val="44"/>
        </w:rPr>
        <w:t>项目名称：</w:t>
      </w:r>
      <w:r>
        <w:rPr>
          <w:rFonts w:hint="eastAsia"/>
          <w:b/>
          <w:sz w:val="44"/>
          <w:szCs w:val="44"/>
        </w:rPr>
        <w:t>深圳市第二人民医院脊柱健康科普资料宣传折页印刷项目</w:t>
      </w:r>
    </w:p>
    <w:p>
      <w:pPr>
        <w:rPr>
          <w:b/>
          <w:sz w:val="44"/>
          <w:szCs w:val="44"/>
        </w:rPr>
      </w:pPr>
    </w:p>
    <w:p>
      <w:pPr>
        <w:pStyle w:val="43"/>
        <w:rPr>
          <w:rFonts w:ascii="Times New Roman" w:hAnsi="Times New Roman"/>
        </w:rPr>
      </w:pPr>
    </w:p>
    <w:p>
      <w:pPr>
        <w:jc w:val="center"/>
        <w:rPr>
          <w:b/>
          <w:sz w:val="52"/>
          <w:szCs w:val="52"/>
        </w:rPr>
      </w:pPr>
      <w:r>
        <w:rPr>
          <w:sz w:val="52"/>
          <w:szCs w:val="52"/>
        </w:rPr>
        <w:drawing>
          <wp:anchor distT="0" distB="0" distL="114300" distR="114300" simplePos="0" relativeHeight="251659264" behindDoc="0" locked="0" layoutInCell="1" allowOverlap="1">
            <wp:simplePos x="0" y="0"/>
            <wp:positionH relativeFrom="column">
              <wp:posOffset>2085975</wp:posOffset>
            </wp:positionH>
            <wp:positionV relativeFrom="paragraph">
              <wp:posOffset>460375</wp:posOffset>
            </wp:positionV>
            <wp:extent cx="2082800" cy="2082800"/>
            <wp:effectExtent l="0" t="0" r="0" b="0"/>
            <wp:wrapNone/>
            <wp:docPr id="1" name="图片 1" descr="D:\微信\WeChat Files\z948090751\FileStorage\Temp\6e0795241b8a426afb05ad7b52efa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微信\WeChat Files\z948090751\FileStorage\Temp\6e0795241b8a426afb05ad7b52efa4f.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082800" cy="2082800"/>
                    </a:xfrm>
                    <a:prstGeom prst="rect">
                      <a:avLst/>
                    </a:prstGeom>
                    <a:noFill/>
                    <a:ln>
                      <a:noFill/>
                    </a:ln>
                  </pic:spPr>
                </pic:pic>
              </a:graphicData>
            </a:graphic>
          </wp:anchor>
        </w:drawing>
      </w:r>
    </w:p>
    <w:p>
      <w:pPr>
        <w:rPr>
          <w:b/>
          <w:sz w:val="52"/>
          <w:szCs w:val="52"/>
        </w:rPr>
      </w:pPr>
    </w:p>
    <w:p>
      <w:pPr>
        <w:rPr>
          <w:sz w:val="52"/>
          <w:szCs w:val="52"/>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b/>
          <w:sz w:val="44"/>
          <w:szCs w:val="44"/>
        </w:rPr>
        <w:t>深圳市</w:t>
      </w:r>
      <w:r>
        <w:rPr>
          <w:rFonts w:hint="eastAsia"/>
          <w:b/>
          <w:sz w:val="44"/>
          <w:szCs w:val="44"/>
        </w:rPr>
        <w:t>第二人民医院</w:t>
      </w:r>
    </w:p>
    <w:p>
      <w:pPr>
        <w:pStyle w:val="43"/>
        <w:rPr>
          <w:rFonts w:ascii="Times New Roman" w:hAnsi="Times New Roman"/>
        </w:rPr>
      </w:pPr>
    </w:p>
    <w:p>
      <w:pPr>
        <w:jc w:val="center"/>
        <w:rPr>
          <w:sz w:val="36"/>
        </w:rPr>
        <w:sectPr>
          <w:headerReference r:id="rId3" w:type="default"/>
          <w:footerReference r:id="rId4" w:type="even"/>
          <w:pgSz w:w="11906" w:h="16838"/>
          <w:pgMar w:top="1134" w:right="1134" w:bottom="1134" w:left="1134" w:header="851" w:footer="992" w:gutter="0"/>
          <w:cols w:space="720" w:num="1"/>
          <w:docGrid w:type="lines" w:linePitch="312" w:charSpace="0"/>
        </w:sectPr>
      </w:pPr>
      <w:r>
        <w:rPr>
          <w:b/>
          <w:bCs/>
          <w:sz w:val="44"/>
          <w:szCs w:val="44"/>
        </w:rPr>
        <w:t>二〇二</w:t>
      </w:r>
      <w:r>
        <w:rPr>
          <w:rFonts w:hint="eastAsia"/>
          <w:b/>
          <w:bCs/>
          <w:sz w:val="44"/>
          <w:szCs w:val="44"/>
        </w:rPr>
        <w:t>四</w:t>
      </w:r>
      <w:r>
        <w:rPr>
          <w:b/>
          <w:bCs/>
          <w:sz w:val="44"/>
          <w:szCs w:val="44"/>
        </w:rPr>
        <w:t xml:space="preserve">年 </w:t>
      </w:r>
      <w:r>
        <w:rPr>
          <w:b/>
          <w:snapToGrid w:val="0"/>
          <w:sz w:val="44"/>
          <w:szCs w:val="44"/>
        </w:rPr>
        <w:t>· 中国深圳</w:t>
      </w:r>
    </w:p>
    <w:p>
      <w:pPr>
        <w:pStyle w:val="4"/>
        <w:rPr>
          <w:sz w:val="30"/>
          <w:szCs w:val="30"/>
        </w:rPr>
      </w:pPr>
      <w:r>
        <w:rPr>
          <w:rFonts w:hint="eastAsia" w:cs="黑体"/>
          <w:sz w:val="30"/>
          <w:szCs w:val="30"/>
        </w:rPr>
        <w:t>警示条款</w:t>
      </w:r>
    </w:p>
    <w:p>
      <w:pPr>
        <w:ind w:firstLine="660" w:firstLineChars="300"/>
        <w:rPr>
          <w:rFonts w:ascii="宋体" w:hAnsi="宋体"/>
          <w:sz w:val="22"/>
        </w:rPr>
      </w:pPr>
      <w:r>
        <w:rPr>
          <w:rFonts w:hint="eastAsia" w:ascii="宋体" w:hAnsi="宋体"/>
          <w:sz w:val="22"/>
        </w:rPr>
        <w:t>一、</w:t>
      </w:r>
      <w:r>
        <w:rPr>
          <w:rFonts w:hint="eastAsia" w:ascii="宋体" w:hAnsi="宋体"/>
          <w:b/>
          <w:bCs/>
          <w:sz w:val="22"/>
        </w:rPr>
        <w:t>《深圳经济特区政府采购条例》第五十七条</w:t>
      </w:r>
      <w:r>
        <w:rPr>
          <w:rFonts w:hint="eastAsia" w:ascii="宋体" w:hAnsi="宋体"/>
          <w:sz w:val="22"/>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40" w:firstLineChars="200"/>
        <w:rPr>
          <w:rFonts w:ascii="宋体" w:hAnsi="宋体"/>
          <w:sz w:val="22"/>
        </w:rPr>
      </w:pPr>
      <w:r>
        <w:rPr>
          <w:rFonts w:hint="eastAsia" w:ascii="宋体" w:hAnsi="宋体"/>
          <w:sz w:val="22"/>
        </w:rPr>
        <w:t>（一）在采购活动中应当回避而未回避的；</w:t>
      </w:r>
    </w:p>
    <w:p>
      <w:pPr>
        <w:ind w:firstLine="440" w:firstLineChars="200"/>
        <w:rPr>
          <w:rFonts w:ascii="宋体" w:hAnsi="宋体"/>
          <w:sz w:val="22"/>
        </w:rPr>
      </w:pPr>
      <w:r>
        <w:rPr>
          <w:rFonts w:hint="eastAsia" w:ascii="宋体" w:hAnsi="宋体"/>
          <w:sz w:val="22"/>
        </w:rPr>
        <w:t>（二）未按本条例规定签订、履行采购合同，造成严重后果的；</w:t>
      </w:r>
    </w:p>
    <w:p>
      <w:pPr>
        <w:ind w:firstLine="440" w:firstLineChars="200"/>
        <w:rPr>
          <w:rFonts w:ascii="宋体" w:hAnsi="宋体"/>
          <w:sz w:val="22"/>
        </w:rPr>
      </w:pPr>
      <w:r>
        <w:rPr>
          <w:rFonts w:hint="eastAsia" w:ascii="宋体" w:hAnsi="宋体"/>
          <w:sz w:val="22"/>
        </w:rPr>
        <w:t>（三）隐瞒真实情况，提供虚假资料的；</w:t>
      </w:r>
    </w:p>
    <w:p>
      <w:pPr>
        <w:ind w:firstLine="440" w:firstLineChars="200"/>
        <w:rPr>
          <w:rFonts w:ascii="宋体" w:hAnsi="宋体"/>
          <w:sz w:val="22"/>
        </w:rPr>
      </w:pPr>
      <w:r>
        <w:rPr>
          <w:rFonts w:hint="eastAsia" w:ascii="宋体" w:hAnsi="宋体"/>
          <w:sz w:val="22"/>
        </w:rPr>
        <w:t>（四）以非法手段排斥其他供应商参与竞争的；</w:t>
      </w:r>
    </w:p>
    <w:p>
      <w:pPr>
        <w:ind w:firstLine="440" w:firstLineChars="200"/>
        <w:rPr>
          <w:rFonts w:ascii="宋体" w:hAnsi="宋体"/>
          <w:sz w:val="22"/>
        </w:rPr>
      </w:pPr>
      <w:r>
        <w:rPr>
          <w:rFonts w:hint="eastAsia" w:ascii="宋体" w:hAnsi="宋体"/>
          <w:sz w:val="22"/>
        </w:rPr>
        <w:t>（五）与其他采购参加人串通投标的；</w:t>
      </w:r>
    </w:p>
    <w:p>
      <w:pPr>
        <w:ind w:firstLine="440" w:firstLineChars="200"/>
        <w:rPr>
          <w:rFonts w:ascii="宋体" w:hAnsi="宋体"/>
          <w:sz w:val="22"/>
        </w:rPr>
      </w:pPr>
      <w:r>
        <w:rPr>
          <w:rFonts w:hint="eastAsia" w:ascii="宋体" w:hAnsi="宋体"/>
          <w:sz w:val="22"/>
        </w:rPr>
        <w:t>（六）恶意投诉的；</w:t>
      </w:r>
    </w:p>
    <w:p>
      <w:pPr>
        <w:ind w:firstLine="440" w:firstLineChars="200"/>
        <w:rPr>
          <w:rFonts w:ascii="宋体" w:hAnsi="宋体"/>
          <w:sz w:val="22"/>
        </w:rPr>
      </w:pPr>
      <w:r>
        <w:rPr>
          <w:rFonts w:hint="eastAsia" w:ascii="宋体" w:hAnsi="宋体"/>
          <w:sz w:val="22"/>
        </w:rPr>
        <w:t>（七）向采购项目相关人行贿或者提供其他不当利益的；</w:t>
      </w:r>
    </w:p>
    <w:p>
      <w:pPr>
        <w:ind w:firstLine="440" w:firstLineChars="200"/>
        <w:rPr>
          <w:rFonts w:ascii="宋体" w:hAnsi="宋体"/>
          <w:sz w:val="22"/>
        </w:rPr>
      </w:pPr>
      <w:r>
        <w:rPr>
          <w:rFonts w:hint="eastAsia" w:ascii="宋体" w:hAnsi="宋体"/>
          <w:sz w:val="22"/>
        </w:rPr>
        <w:t>（八）阻碍、抗拒主管部门监督检查的；</w:t>
      </w:r>
    </w:p>
    <w:p>
      <w:pPr>
        <w:ind w:firstLine="440" w:firstLineChars="200"/>
        <w:rPr>
          <w:rFonts w:ascii="宋体" w:hAnsi="宋体"/>
          <w:sz w:val="22"/>
        </w:rPr>
      </w:pPr>
      <w:r>
        <w:rPr>
          <w:rFonts w:hint="eastAsia" w:ascii="宋体" w:hAnsi="宋体"/>
          <w:sz w:val="22"/>
        </w:rPr>
        <w:t>（九）其他违反本条例规定的行为。</w:t>
      </w:r>
    </w:p>
    <w:p>
      <w:pPr>
        <w:ind w:firstLine="442" w:firstLineChars="200"/>
        <w:rPr>
          <w:rFonts w:ascii="宋体" w:hAnsi="宋体"/>
          <w:sz w:val="22"/>
        </w:rPr>
      </w:pPr>
      <w:r>
        <w:rPr>
          <w:rFonts w:hint="eastAsia" w:ascii="宋体" w:hAnsi="宋体"/>
          <w:b/>
          <w:bCs/>
          <w:sz w:val="22"/>
        </w:rPr>
        <w:t>二、《深圳经济特区政府采购条例实施细则》第七十五条 </w:t>
      </w:r>
      <w:r>
        <w:rPr>
          <w:rFonts w:hint="eastAsia" w:ascii="宋体" w:hAnsi="宋体"/>
          <w:sz w:val="22"/>
        </w:rPr>
        <w:t>供应商有下列情形的，属于采购条例所称的串通投标行为，按照采购条例第五十七条有关规定处理：</w:t>
      </w:r>
    </w:p>
    <w:p>
      <w:pPr>
        <w:ind w:firstLine="440" w:firstLineChars="200"/>
        <w:rPr>
          <w:rFonts w:ascii="宋体" w:hAnsi="宋体"/>
          <w:sz w:val="22"/>
        </w:rPr>
      </w:pPr>
      <w:r>
        <w:rPr>
          <w:rFonts w:hint="eastAsia" w:ascii="宋体" w:hAnsi="宋体"/>
          <w:sz w:val="22"/>
        </w:rPr>
        <w:t>（一）投标供应商之间相互约定给予未中标的供应商利益补偿；</w:t>
      </w:r>
    </w:p>
    <w:p>
      <w:pPr>
        <w:ind w:firstLine="440" w:firstLineChars="200"/>
        <w:rPr>
          <w:rFonts w:ascii="宋体" w:hAnsi="宋体"/>
          <w:sz w:val="22"/>
        </w:rPr>
      </w:pPr>
      <w:r>
        <w:rPr>
          <w:rFonts w:hint="eastAsia" w:ascii="宋体" w:hAnsi="宋体"/>
          <w:sz w:val="22"/>
        </w:rPr>
        <w:t>（二）不同投标供应商的法定代表人、主要经营负责人、项目投标授权代表人、项目负责人、主要技术人员为同一人、属同一单位或者在同一单位缴纳社会保险；</w:t>
      </w:r>
    </w:p>
    <w:p>
      <w:pPr>
        <w:ind w:firstLine="440" w:firstLineChars="200"/>
        <w:rPr>
          <w:rFonts w:ascii="宋体" w:hAnsi="宋体"/>
          <w:sz w:val="22"/>
        </w:rPr>
      </w:pPr>
      <w:r>
        <w:rPr>
          <w:rFonts w:hint="eastAsia" w:ascii="宋体" w:hAnsi="宋体"/>
          <w:sz w:val="22"/>
        </w:rPr>
        <w:t>（三）不同投标供应商的投标文件由同一单位或者同一人编制，或者由同一人分阶段参与编制的；</w:t>
      </w:r>
    </w:p>
    <w:p>
      <w:pPr>
        <w:ind w:firstLine="440" w:firstLineChars="200"/>
        <w:rPr>
          <w:rFonts w:ascii="宋体" w:hAnsi="宋体"/>
          <w:sz w:val="22"/>
        </w:rPr>
      </w:pPr>
      <w:r>
        <w:rPr>
          <w:rFonts w:hint="eastAsia" w:ascii="宋体" w:hAnsi="宋体"/>
          <w:sz w:val="22"/>
        </w:rPr>
        <w:t>（四）不同投标供应商的投标文件或部分投标文件相互混装；</w:t>
      </w:r>
    </w:p>
    <w:p>
      <w:pPr>
        <w:ind w:firstLine="440" w:firstLineChars="200"/>
        <w:rPr>
          <w:rFonts w:ascii="宋体" w:hAnsi="宋体"/>
          <w:sz w:val="22"/>
        </w:rPr>
      </w:pPr>
      <w:r>
        <w:rPr>
          <w:rFonts w:hint="eastAsia" w:ascii="宋体" w:hAnsi="宋体"/>
          <w:sz w:val="22"/>
        </w:rPr>
        <w:t>（五）不同投标供应商的投标文件内容存在非正常一致；</w:t>
      </w:r>
    </w:p>
    <w:p>
      <w:pPr>
        <w:ind w:firstLine="440" w:firstLineChars="200"/>
        <w:rPr>
          <w:rFonts w:ascii="宋体" w:hAnsi="宋体"/>
          <w:sz w:val="22"/>
        </w:rPr>
      </w:pPr>
      <w:r>
        <w:rPr>
          <w:rFonts w:hint="eastAsia" w:ascii="宋体" w:hAnsi="宋体"/>
          <w:sz w:val="22"/>
        </w:rPr>
        <w:t>（六）由同一单位工作人员为两家以上（含两家）供应商进行同一项投标活动的；</w:t>
      </w:r>
    </w:p>
    <w:p>
      <w:pPr>
        <w:ind w:firstLine="440" w:firstLineChars="200"/>
        <w:rPr>
          <w:rFonts w:ascii="宋体" w:hAnsi="宋体"/>
          <w:sz w:val="22"/>
        </w:rPr>
      </w:pPr>
      <w:r>
        <w:rPr>
          <w:rFonts w:hint="eastAsia" w:ascii="宋体" w:hAnsi="宋体"/>
          <w:sz w:val="22"/>
        </w:rPr>
        <w:t>（七）主管部门依照法律、法规认定的其他情形。</w:t>
      </w:r>
    </w:p>
    <w:p>
      <w:pPr>
        <w:ind w:firstLine="442" w:firstLineChars="200"/>
        <w:rPr>
          <w:rFonts w:ascii="宋体" w:hAnsi="宋体"/>
          <w:sz w:val="22"/>
        </w:rPr>
      </w:pPr>
      <w:r>
        <w:rPr>
          <w:rFonts w:hint="eastAsia" w:ascii="宋体" w:hAnsi="宋体"/>
          <w:b/>
          <w:bCs/>
          <w:sz w:val="22"/>
        </w:rPr>
        <w:t>三、《深圳经济特区政府采购条例实施细则》第七十七条 </w:t>
      </w:r>
      <w:r>
        <w:rPr>
          <w:rFonts w:hint="eastAsia" w:ascii="宋体" w:hAnsi="宋体"/>
          <w:sz w:val="22"/>
        </w:rPr>
        <w:t>供应商有下列情形之一的，属于隐瞒真实情况，提供虚假资料，按照采购条例第五十七条的有关规定处理：</w:t>
      </w:r>
    </w:p>
    <w:p>
      <w:pPr>
        <w:ind w:firstLine="440" w:firstLineChars="200"/>
        <w:rPr>
          <w:rFonts w:ascii="宋体" w:hAnsi="宋体"/>
          <w:sz w:val="22"/>
        </w:rPr>
      </w:pPr>
      <w:r>
        <w:rPr>
          <w:rFonts w:hint="eastAsia" w:ascii="宋体" w:hAnsi="宋体"/>
          <w:sz w:val="22"/>
        </w:rPr>
        <w:t>（一）通过转让或者租借等方式从其他单位获取资格或者资质证书投标的；</w:t>
      </w:r>
    </w:p>
    <w:p>
      <w:pPr>
        <w:ind w:firstLine="440" w:firstLineChars="200"/>
        <w:rPr>
          <w:rFonts w:ascii="宋体" w:hAnsi="宋体"/>
          <w:sz w:val="22"/>
        </w:rPr>
      </w:pPr>
      <w:r>
        <w:rPr>
          <w:rFonts w:hint="eastAsia" w:ascii="宋体" w:hAnsi="宋体"/>
          <w:sz w:val="22"/>
        </w:rPr>
        <w:t>（二）由其他单位或者其他单位负责人在投标供应商编制的投标文件上加盖印章或者签字的；</w:t>
      </w:r>
    </w:p>
    <w:p>
      <w:pPr>
        <w:ind w:firstLine="440" w:firstLineChars="200"/>
        <w:rPr>
          <w:rFonts w:ascii="宋体" w:hAnsi="宋体"/>
          <w:sz w:val="22"/>
        </w:rPr>
      </w:pPr>
      <w:r>
        <w:rPr>
          <w:rFonts w:hint="eastAsia" w:ascii="宋体" w:hAnsi="宋体"/>
          <w:sz w:val="22"/>
        </w:rPr>
        <w:t>（三）项目负责人或者主要技术人员不是本单位人员的；</w:t>
      </w:r>
    </w:p>
    <w:p>
      <w:pPr>
        <w:ind w:firstLine="440" w:firstLineChars="200"/>
        <w:rPr>
          <w:rFonts w:ascii="宋体" w:hAnsi="宋体"/>
          <w:sz w:val="22"/>
        </w:rPr>
      </w:pPr>
      <w:r>
        <w:rPr>
          <w:rFonts w:hint="eastAsia" w:ascii="宋体" w:hAnsi="宋体"/>
          <w:sz w:val="22"/>
        </w:rPr>
        <w:t>（四）投标保证金不是从投标供应商基本账户转出的；</w:t>
      </w:r>
    </w:p>
    <w:p>
      <w:pPr>
        <w:ind w:firstLine="440" w:firstLineChars="200"/>
        <w:rPr>
          <w:rFonts w:ascii="宋体" w:hAnsi="宋体"/>
          <w:sz w:val="22"/>
        </w:rPr>
      </w:pPr>
      <w:r>
        <w:rPr>
          <w:rFonts w:hint="eastAsia" w:ascii="宋体" w:hAnsi="宋体"/>
          <w:sz w:val="22"/>
        </w:rPr>
        <w:t>（五）其他隐瞒真实情况、提供虚假资料的行为。</w:t>
      </w:r>
    </w:p>
    <w:p>
      <w:pPr>
        <w:ind w:firstLine="440" w:firstLineChars="200"/>
        <w:jc w:val="left"/>
        <w:rPr>
          <w:rFonts w:ascii="宋体" w:hAnsi="宋体"/>
          <w:color w:val="FF0000"/>
          <w:sz w:val="22"/>
        </w:rPr>
      </w:pPr>
      <w:r>
        <w:rPr>
          <w:rFonts w:hint="eastAsia" w:ascii="宋体" w:hAnsi="宋体"/>
          <w:sz w:val="22"/>
        </w:rPr>
        <w:t>投标供应商不能提供项目负责人或者主要技术人员的劳动合同、社会保险等劳动关系证明材料的，视为存在前款第（三）项规定的情形。</w:t>
      </w:r>
    </w:p>
    <w:p>
      <w:pPr>
        <w:jc w:val="center"/>
        <w:rPr>
          <w:b/>
          <w:sz w:val="32"/>
          <w:szCs w:val="32"/>
        </w:rPr>
      </w:pPr>
      <w:r>
        <w:rPr>
          <w:b/>
          <w:sz w:val="32"/>
          <w:szCs w:val="32"/>
        </w:rPr>
        <w:br w:type="page"/>
      </w:r>
      <w:r>
        <w:rPr>
          <w:b/>
          <w:sz w:val="32"/>
          <w:szCs w:val="32"/>
        </w:rPr>
        <w:t>目   录</w:t>
      </w:r>
    </w:p>
    <w:p>
      <w:pPr>
        <w:rPr>
          <w:b/>
          <w:sz w:val="24"/>
        </w:rPr>
      </w:pPr>
    </w:p>
    <w:p>
      <w:pPr>
        <w:jc w:val="center"/>
        <w:rPr>
          <w:b/>
          <w:sz w:val="24"/>
        </w:rPr>
      </w:pPr>
      <w:r>
        <w:rPr>
          <w:b/>
          <w:sz w:val="24"/>
        </w:rPr>
        <w:t>第一册  专用条款</w:t>
      </w:r>
    </w:p>
    <w:p>
      <w:pPr>
        <w:rPr>
          <w:szCs w:val="21"/>
        </w:rPr>
      </w:pPr>
    </w:p>
    <w:p>
      <w:pPr>
        <w:rPr>
          <w:szCs w:val="21"/>
        </w:rPr>
      </w:pPr>
      <w:r>
        <w:rPr>
          <w:szCs w:val="21"/>
        </w:rPr>
        <w:t>关键信息</w:t>
      </w:r>
    </w:p>
    <w:p>
      <w:pPr>
        <w:rPr>
          <w:szCs w:val="21"/>
        </w:rPr>
      </w:pPr>
      <w:r>
        <w:rPr>
          <w:szCs w:val="21"/>
        </w:rPr>
        <w:t xml:space="preserve">第一章  </w:t>
      </w:r>
      <w:r>
        <w:rPr>
          <w:rFonts w:hint="eastAsia"/>
          <w:szCs w:val="21"/>
        </w:rPr>
        <w:t>招标</w:t>
      </w:r>
      <w:r>
        <w:rPr>
          <w:szCs w:val="21"/>
        </w:rPr>
        <w:t>公告</w:t>
      </w:r>
    </w:p>
    <w:p>
      <w:pPr>
        <w:rPr>
          <w:szCs w:val="21"/>
        </w:rPr>
      </w:pPr>
      <w:r>
        <w:rPr>
          <w:szCs w:val="21"/>
        </w:rPr>
        <w:t>第二章  招标项目需求</w:t>
      </w:r>
    </w:p>
    <w:p>
      <w:pPr>
        <w:pStyle w:val="4"/>
        <w:rPr>
          <w:b/>
          <w:kern w:val="0"/>
          <w:sz w:val="32"/>
          <w:szCs w:val="32"/>
        </w:rPr>
      </w:pPr>
      <w:r>
        <w:rPr>
          <w:b/>
          <w:kern w:val="0"/>
          <w:sz w:val="32"/>
          <w:szCs w:val="32"/>
        </w:rPr>
        <w:br w:type="page"/>
      </w:r>
      <w:r>
        <w:rPr>
          <w:b/>
          <w:kern w:val="0"/>
          <w:sz w:val="32"/>
          <w:szCs w:val="32"/>
        </w:rPr>
        <w:t>关键信息</w:t>
      </w:r>
    </w:p>
    <w:p/>
    <w:tbl>
      <w:tblPr>
        <w:tblStyle w:val="44"/>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2509"/>
        <w:gridCol w:w="5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blHeader/>
          <w:jc w:val="center"/>
        </w:trPr>
        <w:tc>
          <w:tcPr>
            <w:tcW w:w="913" w:type="dxa"/>
            <w:vAlign w:val="center"/>
          </w:tcPr>
          <w:p>
            <w:pPr>
              <w:adjustRightInd w:val="0"/>
              <w:snapToGrid w:val="0"/>
              <w:spacing w:line="360" w:lineRule="exact"/>
              <w:jc w:val="center"/>
              <w:rPr>
                <w:rFonts w:ascii="宋体" w:hAnsi="宋体" w:cs="宋体"/>
                <w:b/>
                <w:sz w:val="22"/>
              </w:rPr>
            </w:pPr>
            <w:r>
              <w:rPr>
                <w:rFonts w:hint="eastAsia" w:ascii="宋体" w:hAnsi="宋体" w:cs="宋体"/>
                <w:b/>
                <w:sz w:val="22"/>
              </w:rPr>
              <w:t>序号</w:t>
            </w:r>
          </w:p>
        </w:tc>
        <w:tc>
          <w:tcPr>
            <w:tcW w:w="2509" w:type="dxa"/>
            <w:vAlign w:val="center"/>
          </w:tcPr>
          <w:p>
            <w:pPr>
              <w:adjustRightInd w:val="0"/>
              <w:snapToGrid w:val="0"/>
              <w:spacing w:line="360" w:lineRule="exact"/>
              <w:jc w:val="center"/>
              <w:rPr>
                <w:rFonts w:ascii="宋体" w:hAnsi="宋体" w:cs="宋体"/>
                <w:b/>
                <w:sz w:val="22"/>
              </w:rPr>
            </w:pPr>
            <w:r>
              <w:rPr>
                <w:rFonts w:hint="eastAsia" w:ascii="宋体" w:hAnsi="宋体" w:cs="宋体"/>
                <w:b/>
                <w:sz w:val="22"/>
              </w:rPr>
              <w:t>内容</w:t>
            </w:r>
          </w:p>
        </w:tc>
        <w:tc>
          <w:tcPr>
            <w:tcW w:w="5097" w:type="dxa"/>
            <w:vAlign w:val="center"/>
          </w:tcPr>
          <w:p>
            <w:pPr>
              <w:adjustRightInd w:val="0"/>
              <w:snapToGrid w:val="0"/>
              <w:spacing w:line="360" w:lineRule="exact"/>
              <w:jc w:val="center"/>
              <w:rPr>
                <w:rFonts w:ascii="宋体" w:hAnsi="宋体" w:cs="宋体"/>
                <w:b/>
                <w:sz w:val="22"/>
              </w:rPr>
            </w:pPr>
            <w:r>
              <w:rPr>
                <w:rFonts w:hint="eastAsia" w:ascii="宋体" w:hAnsi="宋体" w:cs="宋体"/>
                <w:b/>
                <w:sz w:val="22"/>
              </w:rPr>
              <w:t>说明及要求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13"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1</w:t>
            </w:r>
          </w:p>
        </w:tc>
        <w:tc>
          <w:tcPr>
            <w:tcW w:w="2509"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采购项目</w:t>
            </w:r>
          </w:p>
        </w:tc>
        <w:tc>
          <w:tcPr>
            <w:tcW w:w="5097" w:type="dxa"/>
            <w:vAlign w:val="center"/>
          </w:tcPr>
          <w:p>
            <w:pPr>
              <w:adjustRightInd w:val="0"/>
              <w:snapToGrid w:val="0"/>
              <w:spacing w:line="360" w:lineRule="exact"/>
              <w:rPr>
                <w:rFonts w:ascii="宋体" w:hAnsi="宋体" w:cs="宋体"/>
                <w:sz w:val="22"/>
              </w:rPr>
            </w:pPr>
            <w:r>
              <w:rPr>
                <w:rFonts w:hint="eastAsia" w:ascii="宋体" w:hAnsi="宋体" w:cs="宋体"/>
                <w:sz w:val="22"/>
              </w:rPr>
              <w:t>深圳市第二人民医院脊柱健康科普资料宣传折页印刷项目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13"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2</w:t>
            </w:r>
          </w:p>
        </w:tc>
        <w:tc>
          <w:tcPr>
            <w:tcW w:w="2509"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采购方式</w:t>
            </w:r>
          </w:p>
        </w:tc>
        <w:tc>
          <w:tcPr>
            <w:tcW w:w="5097" w:type="dxa"/>
            <w:vAlign w:val="center"/>
          </w:tcPr>
          <w:p>
            <w:pPr>
              <w:adjustRightInd w:val="0"/>
              <w:snapToGrid w:val="0"/>
              <w:spacing w:line="360" w:lineRule="exact"/>
              <w:jc w:val="left"/>
              <w:rPr>
                <w:rFonts w:ascii="宋体" w:hAnsi="宋体" w:cs="宋体"/>
                <w:sz w:val="22"/>
              </w:rPr>
            </w:pPr>
            <w:r>
              <w:rPr>
                <w:rFonts w:hint="eastAsia" w:ascii="宋体" w:hAnsi="宋体" w:cs="宋体"/>
                <w:sz w:val="22"/>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3"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3</w:t>
            </w:r>
          </w:p>
        </w:tc>
        <w:tc>
          <w:tcPr>
            <w:tcW w:w="2509"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采购项目预算</w:t>
            </w:r>
          </w:p>
        </w:tc>
        <w:tc>
          <w:tcPr>
            <w:tcW w:w="5097" w:type="dxa"/>
            <w:vAlign w:val="center"/>
          </w:tcPr>
          <w:p>
            <w:pPr>
              <w:adjustRightInd w:val="0"/>
              <w:snapToGrid w:val="0"/>
              <w:spacing w:line="360" w:lineRule="exact"/>
              <w:rPr>
                <w:rFonts w:ascii="宋体" w:hAnsi="宋体" w:cs="宋体"/>
                <w:sz w:val="22"/>
              </w:rPr>
            </w:pPr>
            <w:r>
              <w:rPr>
                <w:rFonts w:hint="eastAsia" w:ascii="宋体" w:hAnsi="宋体" w:cs="宋体"/>
                <w:sz w:val="22"/>
              </w:rPr>
              <w:t>人民币304600.00元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13"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4</w:t>
            </w:r>
          </w:p>
        </w:tc>
        <w:tc>
          <w:tcPr>
            <w:tcW w:w="2509"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投标保证金</w:t>
            </w:r>
          </w:p>
        </w:tc>
        <w:tc>
          <w:tcPr>
            <w:tcW w:w="5097" w:type="dxa"/>
            <w:vAlign w:val="center"/>
          </w:tcPr>
          <w:p>
            <w:pPr>
              <w:tabs>
                <w:tab w:val="left" w:pos="7740"/>
              </w:tabs>
              <w:spacing w:line="360" w:lineRule="exact"/>
              <w:rPr>
                <w:rFonts w:ascii="宋体" w:hAnsi="宋体" w:cs="宋体"/>
                <w:sz w:val="22"/>
              </w:rPr>
            </w:pPr>
            <w:r>
              <w:rPr>
                <w:rFonts w:hint="eastAsia" w:ascii="宋体" w:hAnsi="宋体" w:cs="宋体"/>
                <w:sz w:val="22"/>
                <w:highlight w:val="none"/>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13"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5</w:t>
            </w:r>
          </w:p>
        </w:tc>
        <w:tc>
          <w:tcPr>
            <w:tcW w:w="2509" w:type="dxa"/>
            <w:vAlign w:val="center"/>
          </w:tcPr>
          <w:p>
            <w:pPr>
              <w:adjustRightInd w:val="0"/>
              <w:snapToGrid w:val="0"/>
              <w:spacing w:line="360" w:lineRule="exact"/>
              <w:jc w:val="center"/>
              <w:rPr>
                <w:rFonts w:ascii="宋体" w:hAnsi="宋体" w:cs="宋体"/>
                <w:bCs/>
                <w:sz w:val="22"/>
              </w:rPr>
            </w:pPr>
            <w:r>
              <w:rPr>
                <w:rFonts w:hint="eastAsia" w:ascii="宋体" w:hAnsi="宋体" w:cs="宋体"/>
                <w:sz w:val="22"/>
              </w:rPr>
              <w:t>投标人的替代方案</w:t>
            </w:r>
          </w:p>
        </w:tc>
        <w:tc>
          <w:tcPr>
            <w:tcW w:w="5097" w:type="dxa"/>
            <w:vAlign w:val="center"/>
          </w:tcPr>
          <w:p>
            <w:pPr>
              <w:adjustRightInd w:val="0"/>
              <w:snapToGrid w:val="0"/>
              <w:spacing w:line="360" w:lineRule="exact"/>
              <w:jc w:val="left"/>
              <w:rPr>
                <w:rFonts w:ascii="宋体" w:hAnsi="宋体" w:cs="宋体"/>
                <w:sz w:val="22"/>
                <w:highlight w:val="none"/>
                <w:u w:val="single"/>
              </w:rPr>
            </w:pPr>
            <w:r>
              <w:rPr>
                <w:rFonts w:hint="eastAsia" w:ascii="宋体" w:hAnsi="宋体" w:cs="宋体"/>
                <w:sz w:val="22"/>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13"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6</w:t>
            </w:r>
          </w:p>
        </w:tc>
        <w:tc>
          <w:tcPr>
            <w:tcW w:w="2509" w:type="dxa"/>
            <w:vAlign w:val="center"/>
          </w:tcPr>
          <w:p>
            <w:pPr>
              <w:adjustRightInd w:val="0"/>
              <w:snapToGrid w:val="0"/>
              <w:spacing w:line="360" w:lineRule="exact"/>
              <w:jc w:val="center"/>
              <w:rPr>
                <w:rFonts w:ascii="宋体" w:hAnsi="宋体" w:cs="宋体"/>
                <w:bCs/>
                <w:sz w:val="22"/>
              </w:rPr>
            </w:pPr>
            <w:r>
              <w:rPr>
                <w:rFonts w:hint="eastAsia" w:ascii="宋体" w:hAnsi="宋体" w:cs="宋体"/>
                <w:bCs/>
                <w:sz w:val="22"/>
              </w:rPr>
              <w:t>投标有效期</w:t>
            </w:r>
          </w:p>
        </w:tc>
        <w:tc>
          <w:tcPr>
            <w:tcW w:w="5097" w:type="dxa"/>
            <w:vAlign w:val="center"/>
          </w:tcPr>
          <w:p>
            <w:pPr>
              <w:adjustRightInd w:val="0"/>
              <w:snapToGrid w:val="0"/>
              <w:spacing w:line="360" w:lineRule="exact"/>
              <w:rPr>
                <w:rFonts w:ascii="宋体" w:hAnsi="宋体" w:cs="宋体"/>
                <w:bCs/>
                <w:sz w:val="22"/>
              </w:rPr>
            </w:pPr>
            <w:r>
              <w:rPr>
                <w:rFonts w:hint="eastAsia" w:ascii="宋体" w:hAnsi="宋体" w:cs="宋体"/>
                <w:sz w:val="22"/>
                <w:u w:val="single"/>
              </w:rPr>
              <w:t>120</w:t>
            </w:r>
            <w:r>
              <w:rPr>
                <w:rFonts w:hint="eastAsia" w:ascii="宋体" w:hAnsi="宋体" w:cs="宋体"/>
                <w:sz w:val="22"/>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13"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7</w:t>
            </w:r>
          </w:p>
        </w:tc>
        <w:tc>
          <w:tcPr>
            <w:tcW w:w="2509"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投标文件份数</w:t>
            </w:r>
          </w:p>
        </w:tc>
        <w:tc>
          <w:tcPr>
            <w:tcW w:w="5097" w:type="dxa"/>
            <w:vAlign w:val="center"/>
          </w:tcPr>
          <w:p>
            <w:pPr>
              <w:adjustRightInd w:val="0"/>
              <w:snapToGrid w:val="0"/>
              <w:spacing w:line="360" w:lineRule="exact"/>
              <w:rPr>
                <w:rFonts w:ascii="宋体" w:hAnsi="宋体" w:cs="宋体"/>
                <w:sz w:val="22"/>
                <w:u w:val="single"/>
              </w:rPr>
            </w:pPr>
            <w:r>
              <w:rPr>
                <w:rFonts w:hint="eastAsia" w:ascii="宋体" w:hAnsi="宋体" w:cs="宋体"/>
                <w:sz w:val="22"/>
              </w:rPr>
              <w:t>正本一份，副本五份，投标文件电子版（盖章扫描件）一份。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13"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8</w:t>
            </w:r>
          </w:p>
        </w:tc>
        <w:tc>
          <w:tcPr>
            <w:tcW w:w="2509"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履约担保金额</w:t>
            </w:r>
          </w:p>
        </w:tc>
        <w:tc>
          <w:tcPr>
            <w:tcW w:w="5097" w:type="dxa"/>
            <w:vAlign w:val="center"/>
          </w:tcPr>
          <w:p>
            <w:pPr>
              <w:adjustRightInd w:val="0"/>
              <w:snapToGrid w:val="0"/>
              <w:spacing w:line="360" w:lineRule="exact"/>
              <w:jc w:val="left"/>
              <w:rPr>
                <w:rFonts w:ascii="宋体" w:hAnsi="宋体" w:cs="宋体"/>
                <w:sz w:val="22"/>
                <w:highlight w:val="none"/>
                <w:u w:val="single"/>
              </w:rPr>
            </w:pPr>
            <w:r>
              <w:rPr>
                <w:rFonts w:hint="eastAsia" w:ascii="宋体" w:hAnsi="宋体" w:cs="宋体"/>
                <w:sz w:val="22"/>
                <w:highlight w:val="none"/>
                <w:u w:val="single"/>
              </w:rPr>
              <w:t>合同金额的3%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13"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9</w:t>
            </w:r>
          </w:p>
        </w:tc>
        <w:tc>
          <w:tcPr>
            <w:tcW w:w="2509"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其他事项</w:t>
            </w:r>
          </w:p>
        </w:tc>
        <w:tc>
          <w:tcPr>
            <w:tcW w:w="5097" w:type="dxa"/>
            <w:vAlign w:val="center"/>
          </w:tcPr>
          <w:p>
            <w:pPr>
              <w:adjustRightInd w:val="0"/>
              <w:snapToGrid w:val="0"/>
              <w:spacing w:line="360" w:lineRule="exact"/>
              <w:jc w:val="left"/>
              <w:rPr>
                <w:rFonts w:ascii="宋体" w:hAnsi="宋体" w:cs="宋体"/>
                <w:sz w:val="22"/>
              </w:rPr>
            </w:pPr>
            <w:r>
              <w:rPr>
                <w:rFonts w:hint="eastAsia" w:ascii="宋体" w:hAnsi="宋体" w:cs="宋体"/>
                <w:sz w:val="22"/>
              </w:rPr>
              <w:t>投标文件须胶装装订，装订美观，耐磨损，密封完好。以便采购人查阅和留存保管。</w:t>
            </w:r>
          </w:p>
        </w:tc>
      </w:tr>
    </w:tbl>
    <w:p>
      <w:pPr>
        <w:pStyle w:val="4"/>
      </w:pPr>
      <w:r>
        <w:rPr>
          <w:sz w:val="32"/>
        </w:rPr>
        <w:br w:type="page"/>
      </w:r>
      <w:r>
        <w:t>投标文件初审表</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tcPr>
          <w:p>
            <w:pPr>
              <w:spacing w:line="360" w:lineRule="exact"/>
              <w:jc w:val="center"/>
              <w:rPr>
                <w:sz w:val="22"/>
              </w:rPr>
            </w:pPr>
            <w:r>
              <w:rPr>
                <w:b/>
                <w:bCs/>
                <w:sz w:val="22"/>
              </w:rPr>
              <w:t>资格性</w:t>
            </w:r>
            <w:r>
              <w:rPr>
                <w:rFonts w:hint="eastAsia"/>
                <w:b/>
                <w:bCs/>
                <w:sz w:val="22"/>
              </w:rPr>
              <w:t>审</w:t>
            </w:r>
            <w:r>
              <w:rPr>
                <w:b/>
                <w:bCs/>
                <w:sz w:val="22"/>
              </w:rPr>
              <w:t>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89" w:type="dxa"/>
            <w:vAlign w:val="center"/>
          </w:tcPr>
          <w:p>
            <w:pPr>
              <w:numPr>
                <w:ilvl w:val="0"/>
                <w:numId w:val="1"/>
              </w:numPr>
              <w:spacing w:line="360" w:lineRule="exact"/>
              <w:jc w:val="center"/>
              <w:rPr>
                <w:sz w:val="22"/>
              </w:rPr>
            </w:pPr>
          </w:p>
        </w:tc>
        <w:tc>
          <w:tcPr>
            <w:tcW w:w="7833" w:type="dxa"/>
          </w:tcPr>
          <w:p>
            <w:pPr>
              <w:spacing w:line="360" w:lineRule="exact"/>
              <w:jc w:val="left"/>
              <w:rPr>
                <w:sz w:val="22"/>
              </w:rPr>
            </w:pPr>
            <w:r>
              <w:rPr>
                <w:sz w:val="22"/>
              </w:rPr>
              <w:t>不具备采购文件所列的资格要求，或未提交相应的资格证明资料（详见采购公告投标人资质要求）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89" w:type="dxa"/>
          </w:tcPr>
          <w:p>
            <w:pPr>
              <w:numPr>
                <w:ilvl w:val="0"/>
                <w:numId w:val="1"/>
              </w:numPr>
              <w:spacing w:line="360" w:lineRule="exact"/>
              <w:jc w:val="center"/>
              <w:rPr>
                <w:sz w:val="22"/>
              </w:rPr>
            </w:pPr>
          </w:p>
        </w:tc>
        <w:tc>
          <w:tcPr>
            <w:tcW w:w="7833" w:type="dxa"/>
          </w:tcPr>
          <w:p>
            <w:pPr>
              <w:spacing w:line="360" w:lineRule="exact"/>
              <w:jc w:val="left"/>
              <w:rPr>
                <w:sz w:val="22"/>
              </w:rPr>
            </w:pPr>
            <w:r>
              <w:rPr>
                <w:sz w:val="22"/>
              </w:rPr>
              <w:t>不具备国家有关法律规定的有关资质的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tcPr>
          <w:p>
            <w:pPr>
              <w:spacing w:line="360" w:lineRule="exact"/>
              <w:jc w:val="center"/>
              <w:rPr>
                <w:sz w:val="22"/>
              </w:rPr>
            </w:pPr>
            <w:r>
              <w:rPr>
                <w:b/>
                <w:bCs/>
                <w:sz w:val="22"/>
              </w:rPr>
              <w:t>符合性</w:t>
            </w:r>
            <w:r>
              <w:rPr>
                <w:rFonts w:hint="eastAsia"/>
                <w:b/>
                <w:bCs/>
                <w:sz w:val="22"/>
              </w:rPr>
              <w:t>审</w:t>
            </w:r>
            <w:r>
              <w:rPr>
                <w:b/>
                <w:bCs/>
                <w:sz w:val="22"/>
              </w:rPr>
              <w:t>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tcPr>
          <w:p>
            <w:pPr>
              <w:numPr>
                <w:ilvl w:val="0"/>
                <w:numId w:val="2"/>
              </w:numPr>
              <w:spacing w:line="360" w:lineRule="exact"/>
              <w:jc w:val="center"/>
              <w:rPr>
                <w:sz w:val="22"/>
              </w:rPr>
            </w:pPr>
          </w:p>
        </w:tc>
        <w:tc>
          <w:tcPr>
            <w:tcW w:w="7833" w:type="dxa"/>
          </w:tcPr>
          <w:p>
            <w:pPr>
              <w:spacing w:line="360" w:lineRule="exact"/>
              <w:jc w:val="left"/>
              <w:rPr>
                <w:sz w:val="22"/>
              </w:rPr>
            </w:pPr>
            <w:r>
              <w:rPr>
                <w:sz w:val="22"/>
              </w:rPr>
              <w:t>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tcPr>
          <w:p>
            <w:pPr>
              <w:numPr>
                <w:ilvl w:val="0"/>
                <w:numId w:val="2"/>
              </w:numPr>
              <w:spacing w:line="360" w:lineRule="exact"/>
              <w:jc w:val="center"/>
              <w:rPr>
                <w:sz w:val="22"/>
              </w:rPr>
            </w:pPr>
          </w:p>
        </w:tc>
        <w:tc>
          <w:tcPr>
            <w:tcW w:w="7833" w:type="dxa"/>
          </w:tcPr>
          <w:p>
            <w:pPr>
              <w:spacing w:line="360" w:lineRule="exact"/>
              <w:jc w:val="left"/>
              <w:rPr>
                <w:sz w:val="22"/>
              </w:rPr>
            </w:pPr>
            <w:r>
              <w:rPr>
                <w:sz w:val="22"/>
              </w:rPr>
              <w:t>采购文件未规定允许有替代方案时，对同一货物投标时，同时提供两套或两套以上的投标方案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tcPr>
          <w:p>
            <w:pPr>
              <w:numPr>
                <w:ilvl w:val="0"/>
                <w:numId w:val="2"/>
              </w:numPr>
              <w:spacing w:line="360" w:lineRule="exact"/>
              <w:jc w:val="center"/>
              <w:rPr>
                <w:sz w:val="22"/>
              </w:rPr>
            </w:pPr>
          </w:p>
        </w:tc>
        <w:tc>
          <w:tcPr>
            <w:tcW w:w="7833" w:type="dxa"/>
          </w:tcPr>
          <w:p>
            <w:pPr>
              <w:spacing w:line="360" w:lineRule="exact"/>
              <w:jc w:val="left"/>
              <w:rPr>
                <w:sz w:val="22"/>
              </w:rPr>
            </w:pPr>
            <w:r>
              <w:rPr>
                <w:sz w:val="22"/>
              </w:rPr>
              <w:t>投标总价或分项报价高于财政预算限额的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tcPr>
          <w:p>
            <w:pPr>
              <w:numPr>
                <w:ilvl w:val="0"/>
                <w:numId w:val="2"/>
              </w:numPr>
              <w:spacing w:line="360" w:lineRule="exact"/>
              <w:jc w:val="center"/>
              <w:rPr>
                <w:sz w:val="22"/>
              </w:rPr>
            </w:pPr>
          </w:p>
        </w:tc>
        <w:tc>
          <w:tcPr>
            <w:tcW w:w="7833" w:type="dxa"/>
          </w:tcPr>
          <w:p>
            <w:pPr>
              <w:spacing w:line="360" w:lineRule="exact"/>
              <w:jc w:val="left"/>
              <w:rPr>
                <w:sz w:val="22"/>
              </w:rPr>
            </w:pPr>
            <w:r>
              <w:rPr>
                <w:sz w:val="22"/>
              </w:rPr>
              <w:t>同一项目出现两个或以上报价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tcPr>
          <w:p>
            <w:pPr>
              <w:numPr>
                <w:ilvl w:val="0"/>
                <w:numId w:val="2"/>
              </w:numPr>
              <w:spacing w:line="360" w:lineRule="exact"/>
              <w:jc w:val="center"/>
              <w:rPr>
                <w:sz w:val="22"/>
              </w:rPr>
            </w:pPr>
          </w:p>
        </w:tc>
        <w:tc>
          <w:tcPr>
            <w:tcW w:w="7833" w:type="dxa"/>
          </w:tcPr>
          <w:p>
            <w:pPr>
              <w:spacing w:line="360" w:lineRule="exact"/>
              <w:jc w:val="left"/>
              <w:rPr>
                <w:sz w:val="22"/>
              </w:rPr>
            </w:pPr>
            <w:r>
              <w:rPr>
                <w:rFonts w:hint="eastAsia"/>
                <w:sz w:val="22"/>
              </w:rPr>
              <w:t>评审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tcPr>
          <w:p>
            <w:pPr>
              <w:numPr>
                <w:ilvl w:val="0"/>
                <w:numId w:val="2"/>
              </w:numPr>
              <w:spacing w:line="360" w:lineRule="exact"/>
              <w:jc w:val="center"/>
              <w:rPr>
                <w:sz w:val="22"/>
              </w:rPr>
            </w:pPr>
          </w:p>
        </w:tc>
        <w:tc>
          <w:tcPr>
            <w:tcW w:w="7833" w:type="dxa"/>
          </w:tcPr>
          <w:p>
            <w:pPr>
              <w:spacing w:line="360" w:lineRule="exact"/>
              <w:jc w:val="left"/>
              <w:rPr>
                <w:sz w:val="22"/>
              </w:rPr>
            </w:pPr>
            <w:r>
              <w:rPr>
                <w:sz w:val="22"/>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tcPr>
          <w:p>
            <w:pPr>
              <w:numPr>
                <w:ilvl w:val="0"/>
                <w:numId w:val="2"/>
              </w:numPr>
              <w:spacing w:line="360" w:lineRule="exact"/>
              <w:jc w:val="center"/>
              <w:rPr>
                <w:sz w:val="22"/>
              </w:rPr>
            </w:pPr>
          </w:p>
        </w:tc>
        <w:tc>
          <w:tcPr>
            <w:tcW w:w="7833" w:type="dxa"/>
          </w:tcPr>
          <w:p>
            <w:pPr>
              <w:spacing w:line="360" w:lineRule="exact"/>
              <w:jc w:val="left"/>
              <w:rPr>
                <w:sz w:val="22"/>
              </w:rPr>
            </w:pPr>
            <w:r>
              <w:rPr>
                <w:sz w:val="22"/>
              </w:rPr>
              <w:t>投标文件载明的交货期超过采购文件规定的期限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tcPr>
          <w:p>
            <w:pPr>
              <w:numPr>
                <w:ilvl w:val="0"/>
                <w:numId w:val="2"/>
              </w:numPr>
              <w:spacing w:line="360" w:lineRule="exact"/>
              <w:jc w:val="center"/>
              <w:rPr>
                <w:sz w:val="22"/>
              </w:rPr>
            </w:pPr>
          </w:p>
        </w:tc>
        <w:tc>
          <w:tcPr>
            <w:tcW w:w="7833" w:type="dxa"/>
          </w:tcPr>
          <w:p>
            <w:pPr>
              <w:spacing w:line="360" w:lineRule="exact"/>
              <w:jc w:val="left"/>
              <w:rPr>
                <w:sz w:val="22"/>
              </w:rPr>
            </w:pPr>
            <w:r>
              <w:rPr>
                <w:sz w:val="22"/>
              </w:rPr>
              <w:t>投标文件载明的免费保修期低于采购文件规定的期限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tcPr>
          <w:p>
            <w:pPr>
              <w:numPr>
                <w:ilvl w:val="0"/>
                <w:numId w:val="2"/>
              </w:numPr>
              <w:spacing w:line="360" w:lineRule="exact"/>
              <w:jc w:val="center"/>
              <w:rPr>
                <w:sz w:val="22"/>
              </w:rPr>
            </w:pPr>
          </w:p>
        </w:tc>
        <w:tc>
          <w:tcPr>
            <w:tcW w:w="7833" w:type="dxa"/>
          </w:tcPr>
          <w:p>
            <w:pPr>
              <w:spacing w:line="360" w:lineRule="exact"/>
              <w:jc w:val="left"/>
              <w:rPr>
                <w:sz w:val="22"/>
              </w:rPr>
            </w:pPr>
            <w:r>
              <w:rPr>
                <w:sz w:val="22"/>
              </w:rPr>
              <w:t>所投产品、工程、服务在质量、技术、方案等方面没有实质性满足采购文件要求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tcPr>
          <w:p>
            <w:pPr>
              <w:numPr>
                <w:ilvl w:val="0"/>
                <w:numId w:val="2"/>
              </w:numPr>
              <w:spacing w:line="360" w:lineRule="exact"/>
              <w:jc w:val="center"/>
              <w:rPr>
                <w:sz w:val="22"/>
              </w:rPr>
            </w:pPr>
          </w:p>
        </w:tc>
        <w:tc>
          <w:tcPr>
            <w:tcW w:w="7833" w:type="dxa"/>
          </w:tcPr>
          <w:p>
            <w:pPr>
              <w:spacing w:line="360" w:lineRule="exact"/>
              <w:jc w:val="left"/>
              <w:rPr>
                <w:sz w:val="22"/>
              </w:rPr>
            </w:pPr>
            <w:r>
              <w:rPr>
                <w:sz w:val="22"/>
              </w:rPr>
              <w:t>未按采购文件提供《投标函》；未按采购文件对投标文件组成的要求提供投标文件的（投标文件组成不完整）；投标文件的数量、制作、密封、标记、签字盖章不符合采购文件要求；投标文件无法定代表人有效授权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tcPr>
          <w:p>
            <w:pPr>
              <w:numPr>
                <w:ilvl w:val="0"/>
                <w:numId w:val="2"/>
              </w:numPr>
              <w:spacing w:line="360" w:lineRule="exact"/>
              <w:jc w:val="center"/>
              <w:rPr>
                <w:sz w:val="22"/>
              </w:rPr>
            </w:pPr>
          </w:p>
        </w:tc>
        <w:tc>
          <w:tcPr>
            <w:tcW w:w="7833" w:type="dxa"/>
          </w:tcPr>
          <w:p>
            <w:pPr>
              <w:spacing w:line="360" w:lineRule="exact"/>
              <w:jc w:val="left"/>
              <w:rPr>
                <w:sz w:val="22"/>
              </w:rPr>
            </w:pPr>
            <w:r>
              <w:rPr>
                <w:sz w:val="22"/>
              </w:rPr>
              <w:t>未提供投标文件电子文档或者有病毒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tcPr>
          <w:p>
            <w:pPr>
              <w:numPr>
                <w:ilvl w:val="0"/>
                <w:numId w:val="2"/>
              </w:numPr>
              <w:spacing w:line="360" w:lineRule="exact"/>
              <w:jc w:val="center"/>
              <w:rPr>
                <w:sz w:val="22"/>
              </w:rPr>
            </w:pPr>
          </w:p>
        </w:tc>
        <w:tc>
          <w:tcPr>
            <w:tcW w:w="7833" w:type="dxa"/>
          </w:tcPr>
          <w:p>
            <w:pPr>
              <w:spacing w:line="360" w:lineRule="exact"/>
              <w:jc w:val="left"/>
              <w:rPr>
                <w:sz w:val="22"/>
              </w:rPr>
            </w:pPr>
            <w:r>
              <w:rPr>
                <w:sz w:val="22"/>
              </w:rPr>
              <w:t>法律、法规规定的其他情形</w:t>
            </w:r>
          </w:p>
        </w:tc>
      </w:tr>
    </w:tbl>
    <w:p>
      <w:pPr>
        <w:rPr>
          <w:b/>
          <w:bCs/>
          <w:sz w:val="22"/>
        </w:rPr>
      </w:pPr>
      <w:r>
        <w:rPr>
          <w:rFonts w:hint="eastAsia"/>
          <w:b/>
          <w:bCs/>
          <w:sz w:val="22"/>
        </w:rPr>
        <w:t>备注：《</w:t>
      </w:r>
      <w:r>
        <w:rPr>
          <w:rFonts w:hint="eastAsia"/>
          <w:b/>
          <w:szCs w:val="24"/>
        </w:rPr>
        <w:t>资格</w:t>
      </w:r>
      <w:r>
        <w:rPr>
          <w:rFonts w:hint="eastAsia"/>
          <w:b/>
          <w:bCs/>
          <w:sz w:val="22"/>
        </w:rPr>
        <w:t>性审查表》和《符合性审查表》初审不通过，按投标无效处理。</w:t>
      </w:r>
    </w:p>
    <w:p>
      <w:pPr>
        <w:pStyle w:val="4"/>
        <w:rPr>
          <w:rFonts w:hint="eastAsia" w:ascii="宋体" w:hAnsi="宋体" w:cs="宋体"/>
          <w:b/>
          <w:sz w:val="28"/>
          <w:szCs w:val="28"/>
        </w:rPr>
      </w:pPr>
      <w:r>
        <w:br w:type="page"/>
      </w:r>
      <w:r>
        <w:rPr>
          <w:rFonts w:hint="eastAsia" w:ascii="宋体" w:hAnsi="宋体" w:cs="宋体"/>
          <w:b/>
          <w:sz w:val="28"/>
          <w:szCs w:val="28"/>
        </w:rPr>
        <w:t>评标信息</w:t>
      </w:r>
      <w:bookmarkStart w:id="0" w:name="OLE_LINK2"/>
      <w:bookmarkStart w:id="1" w:name="OLE_LINK3"/>
      <w:bookmarkStart w:id="2" w:name="OLE_LINK4"/>
    </w:p>
    <w:p>
      <w:pPr>
        <w:spacing w:line="360" w:lineRule="auto"/>
        <w:rPr>
          <w:rFonts w:ascii="宋体" w:hAnsi="宋体" w:cs="宋体"/>
          <w:sz w:val="22"/>
        </w:rPr>
      </w:pPr>
      <w:r>
        <w:rPr>
          <w:rFonts w:hint="eastAsia" w:ascii="宋体" w:hAnsi="宋体" w:cs="宋体"/>
          <w:sz w:val="22"/>
        </w:rPr>
        <w:t>评标方法：综合评分法。按照招标文件中规定的各项因素进行量化打分，以评标总得分的平均分最高的投标人</w:t>
      </w:r>
      <w:r>
        <w:rPr>
          <w:rFonts w:hint="eastAsia" w:ascii="宋体" w:hAnsi="宋体" w:cs="宋体"/>
          <w:bCs/>
          <w:sz w:val="22"/>
        </w:rPr>
        <w:t>为中标候选供应商，采购人根据评标委员会评审结果确定中标候选供应商为中标人。</w:t>
      </w:r>
    </w:p>
    <w:p>
      <w:pPr>
        <w:spacing w:line="360" w:lineRule="auto"/>
        <w:rPr>
          <w:rFonts w:ascii="宋体" w:hAnsi="宋体" w:cs="宋体"/>
          <w:sz w:val="22"/>
        </w:rPr>
      </w:pPr>
      <w:r>
        <w:rPr>
          <w:rFonts w:hint="eastAsia" w:ascii="宋体" w:hAnsi="宋体" w:cs="宋体"/>
          <w:sz w:val="22"/>
        </w:rPr>
        <w:t>综合评分法中的价格分统一采用低价优先法计算,即满足采购文件要求且投标价格最低的投标报价为评标基准价,其价格分为满分。其他投标人的价格分统一按照下列公式计算：投标报价得分=(评标基准价/投标报价)×权重</w:t>
      </w:r>
    </w:p>
    <w:tbl>
      <w:tblPr>
        <w:tblStyle w:val="44"/>
        <w:tblpPr w:leftFromText="180" w:rightFromText="180" w:vertAnchor="text" w:horzAnchor="page" w:tblpXSpec="center" w:tblpY="530"/>
        <w:tblOverlap w:val="never"/>
        <w:tblW w:w="9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7"/>
        <w:gridCol w:w="1888"/>
        <w:gridCol w:w="756"/>
        <w:gridCol w:w="4786"/>
        <w:gridCol w:w="11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8177" w:type="dxa"/>
            <w:gridSpan w:val="4"/>
            <w:shd w:val="clear" w:color="auto" w:fill="auto"/>
            <w:vAlign w:val="center"/>
          </w:tcPr>
          <w:p>
            <w:pPr>
              <w:pStyle w:val="139"/>
              <w:spacing w:before="125"/>
              <w:ind w:left="3110"/>
              <w:rPr>
                <w:sz w:val="21"/>
                <w:szCs w:val="21"/>
              </w:rPr>
            </w:pPr>
            <w:bookmarkStart w:id="254" w:name="_GoBack"/>
            <w:bookmarkEnd w:id="254"/>
            <w:r>
              <w:rPr>
                <w:rFonts w:hint="eastAsia"/>
                <w:b/>
                <w:bCs/>
                <w:spacing w:val="7"/>
                <w:sz w:val="21"/>
                <w:szCs w:val="21"/>
              </w:rPr>
              <w:t>评分项及评分规则</w:t>
            </w:r>
          </w:p>
        </w:tc>
        <w:tc>
          <w:tcPr>
            <w:tcW w:w="1183" w:type="dxa"/>
            <w:shd w:val="clear" w:color="auto" w:fill="auto"/>
            <w:vAlign w:val="center"/>
          </w:tcPr>
          <w:p>
            <w:pPr>
              <w:pStyle w:val="139"/>
              <w:spacing w:before="125"/>
              <w:ind w:left="459"/>
              <w:rPr>
                <w:sz w:val="21"/>
                <w:szCs w:val="21"/>
              </w:rPr>
            </w:pPr>
            <w:r>
              <w:rPr>
                <w:rFonts w:hint="eastAsia"/>
                <w:b/>
                <w:bCs/>
                <w:spacing w:val="4"/>
                <w:sz w:val="21"/>
                <w:szCs w:val="21"/>
              </w:rPr>
              <w:t>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8177" w:type="dxa"/>
            <w:gridSpan w:val="4"/>
            <w:shd w:val="clear" w:color="auto" w:fill="auto"/>
            <w:vAlign w:val="center"/>
          </w:tcPr>
          <w:p>
            <w:pPr>
              <w:pStyle w:val="139"/>
              <w:spacing w:before="125"/>
              <w:jc w:val="center"/>
              <w:rPr>
                <w:b/>
                <w:bCs/>
                <w:spacing w:val="7"/>
                <w:sz w:val="21"/>
                <w:szCs w:val="21"/>
              </w:rPr>
            </w:pPr>
            <w:r>
              <w:rPr>
                <w:rFonts w:hint="eastAsia"/>
                <w:b/>
                <w:bCs/>
                <w:lang w:eastAsia="zh-CN"/>
              </w:rPr>
              <w:t>一、</w:t>
            </w:r>
            <w:r>
              <w:rPr>
                <w:b/>
                <w:bCs/>
              </w:rPr>
              <w:t>价格</w:t>
            </w:r>
          </w:p>
        </w:tc>
        <w:tc>
          <w:tcPr>
            <w:tcW w:w="1183" w:type="dxa"/>
            <w:shd w:val="clear" w:color="auto" w:fill="auto"/>
            <w:vAlign w:val="center"/>
          </w:tcPr>
          <w:p>
            <w:pPr>
              <w:pStyle w:val="139"/>
              <w:spacing w:before="125"/>
              <w:ind w:left="459"/>
              <w:rPr>
                <w:rFonts w:hint="default"/>
                <w:b/>
                <w:bCs/>
                <w:spacing w:val="4"/>
                <w:sz w:val="21"/>
                <w:szCs w:val="21"/>
                <w:lang w:val="en-US" w:eastAsia="zh-CN"/>
              </w:rPr>
            </w:pPr>
            <w:r>
              <w:rPr>
                <w:rFonts w:hint="eastAsia"/>
                <w:b/>
                <w:bCs/>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8177" w:type="dxa"/>
            <w:gridSpan w:val="4"/>
            <w:shd w:val="clear" w:color="auto" w:fill="auto"/>
            <w:vAlign w:val="center"/>
          </w:tcPr>
          <w:p>
            <w:pPr>
              <w:pStyle w:val="139"/>
              <w:spacing w:before="123"/>
              <w:jc w:val="center"/>
              <w:rPr>
                <w:sz w:val="21"/>
                <w:szCs w:val="21"/>
              </w:rPr>
            </w:pPr>
            <w:r>
              <w:rPr>
                <w:rFonts w:hint="eastAsia"/>
                <w:b/>
                <w:bCs/>
                <w:spacing w:val="6"/>
                <w:sz w:val="21"/>
                <w:szCs w:val="21"/>
                <w:lang w:eastAsia="zh-CN"/>
              </w:rPr>
              <w:t>二、</w:t>
            </w:r>
            <w:r>
              <w:rPr>
                <w:rFonts w:hint="eastAsia"/>
                <w:b/>
                <w:bCs/>
                <w:spacing w:val="6"/>
                <w:sz w:val="21"/>
                <w:szCs w:val="21"/>
              </w:rPr>
              <w:t>技术部分</w:t>
            </w:r>
          </w:p>
        </w:tc>
        <w:tc>
          <w:tcPr>
            <w:tcW w:w="1183" w:type="dxa"/>
            <w:shd w:val="clear" w:color="auto" w:fill="auto"/>
            <w:vAlign w:val="center"/>
          </w:tcPr>
          <w:p>
            <w:pPr>
              <w:pStyle w:val="139"/>
              <w:spacing w:before="155"/>
              <w:jc w:val="center"/>
              <w:rPr>
                <w:b/>
                <w:sz w:val="21"/>
                <w:szCs w:val="21"/>
                <w:lang w:eastAsia="zh-CN"/>
              </w:rPr>
            </w:pPr>
            <w:r>
              <w:rPr>
                <w:rFonts w:hint="eastAsia"/>
                <w:b/>
                <w:sz w:val="21"/>
                <w:szCs w:val="21"/>
                <w:lang w:eastAsia="zh-CN"/>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747" w:type="dxa"/>
            <w:shd w:val="clear" w:color="auto" w:fill="auto"/>
            <w:vAlign w:val="center"/>
          </w:tcPr>
          <w:p>
            <w:pPr>
              <w:pStyle w:val="139"/>
              <w:spacing w:before="124"/>
              <w:ind w:left="163"/>
              <w:jc w:val="center"/>
              <w:rPr>
                <w:sz w:val="21"/>
                <w:szCs w:val="21"/>
              </w:rPr>
            </w:pPr>
            <w:r>
              <w:rPr>
                <w:rFonts w:hint="eastAsia"/>
                <w:spacing w:val="5"/>
                <w:sz w:val="21"/>
                <w:szCs w:val="21"/>
              </w:rPr>
              <w:t>序号</w:t>
            </w:r>
          </w:p>
        </w:tc>
        <w:tc>
          <w:tcPr>
            <w:tcW w:w="1888" w:type="dxa"/>
            <w:shd w:val="clear" w:color="auto" w:fill="auto"/>
            <w:vAlign w:val="center"/>
          </w:tcPr>
          <w:p>
            <w:pPr>
              <w:pStyle w:val="139"/>
              <w:spacing w:before="124"/>
              <w:ind w:left="760"/>
              <w:jc w:val="center"/>
              <w:rPr>
                <w:sz w:val="21"/>
                <w:szCs w:val="21"/>
              </w:rPr>
            </w:pPr>
            <w:r>
              <w:rPr>
                <w:rFonts w:hint="eastAsia"/>
                <w:spacing w:val="-8"/>
                <w:sz w:val="21"/>
                <w:szCs w:val="21"/>
              </w:rPr>
              <w:t>内容</w:t>
            </w:r>
          </w:p>
        </w:tc>
        <w:tc>
          <w:tcPr>
            <w:tcW w:w="756" w:type="dxa"/>
            <w:shd w:val="clear" w:color="auto" w:fill="auto"/>
            <w:vAlign w:val="center"/>
          </w:tcPr>
          <w:p>
            <w:pPr>
              <w:pStyle w:val="139"/>
              <w:spacing w:before="124"/>
              <w:ind w:left="168"/>
              <w:jc w:val="center"/>
              <w:rPr>
                <w:sz w:val="21"/>
                <w:szCs w:val="21"/>
              </w:rPr>
            </w:pPr>
            <w:r>
              <w:rPr>
                <w:rFonts w:hint="eastAsia"/>
                <w:spacing w:val="5"/>
                <w:sz w:val="21"/>
                <w:szCs w:val="21"/>
              </w:rPr>
              <w:t>权重</w:t>
            </w:r>
          </w:p>
        </w:tc>
        <w:tc>
          <w:tcPr>
            <w:tcW w:w="4786" w:type="dxa"/>
            <w:shd w:val="clear" w:color="auto" w:fill="auto"/>
            <w:vAlign w:val="center"/>
          </w:tcPr>
          <w:p>
            <w:pPr>
              <w:pStyle w:val="139"/>
              <w:spacing w:before="124"/>
              <w:ind w:left="1834"/>
              <w:jc w:val="center"/>
              <w:rPr>
                <w:sz w:val="21"/>
                <w:szCs w:val="21"/>
              </w:rPr>
            </w:pPr>
            <w:r>
              <w:rPr>
                <w:rFonts w:hint="eastAsia"/>
                <w:spacing w:val="7"/>
                <w:sz w:val="21"/>
                <w:szCs w:val="21"/>
              </w:rPr>
              <w:t>评分规则</w:t>
            </w:r>
          </w:p>
        </w:tc>
        <w:tc>
          <w:tcPr>
            <w:tcW w:w="1183" w:type="dxa"/>
            <w:shd w:val="clear" w:color="auto" w:fill="auto"/>
            <w:vAlign w:val="center"/>
          </w:tcPr>
          <w:p>
            <w:pPr>
              <w:pStyle w:val="139"/>
              <w:spacing w:before="124"/>
              <w:rPr>
                <w:sz w:val="21"/>
                <w:szCs w:val="21"/>
              </w:rPr>
            </w:pPr>
            <w:r>
              <w:rPr>
                <w:rFonts w:hint="eastAsia"/>
                <w:spacing w:val="7"/>
                <w:sz w:val="21"/>
                <w:szCs w:val="21"/>
              </w:rPr>
              <w:t>评分方式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747" w:type="dxa"/>
            <w:shd w:val="clear" w:color="auto" w:fill="auto"/>
            <w:vAlign w:val="center"/>
          </w:tcPr>
          <w:p>
            <w:pPr>
              <w:spacing w:after="60"/>
              <w:jc w:val="center"/>
              <w:rPr>
                <w:rFonts w:ascii="宋体" w:hAnsi="宋体" w:cs="宋体"/>
                <w:szCs w:val="21"/>
              </w:rPr>
            </w:pPr>
          </w:p>
          <w:p>
            <w:pPr>
              <w:spacing w:after="60"/>
              <w:jc w:val="center"/>
              <w:rPr>
                <w:rFonts w:ascii="宋体" w:hAnsi="宋体" w:cs="宋体"/>
                <w:szCs w:val="21"/>
              </w:rPr>
            </w:pPr>
          </w:p>
          <w:p>
            <w:pPr>
              <w:spacing w:after="60"/>
              <w:jc w:val="center"/>
              <w:rPr>
                <w:rFonts w:ascii="宋体" w:hAnsi="宋体" w:cs="宋体"/>
                <w:szCs w:val="21"/>
              </w:rPr>
            </w:pPr>
          </w:p>
          <w:p>
            <w:pPr>
              <w:spacing w:after="60"/>
              <w:jc w:val="center"/>
              <w:rPr>
                <w:rFonts w:ascii="宋体" w:hAnsi="宋体" w:cs="宋体"/>
                <w:szCs w:val="21"/>
              </w:rPr>
            </w:pPr>
          </w:p>
          <w:p>
            <w:pPr>
              <w:spacing w:after="60"/>
              <w:jc w:val="center"/>
              <w:rPr>
                <w:rFonts w:ascii="宋体" w:hAnsi="宋体" w:cs="宋体"/>
                <w:szCs w:val="21"/>
              </w:rPr>
            </w:pPr>
          </w:p>
          <w:p>
            <w:pPr>
              <w:spacing w:after="60"/>
              <w:jc w:val="center"/>
              <w:rPr>
                <w:rFonts w:ascii="宋体" w:hAnsi="宋体" w:cs="宋体"/>
                <w:szCs w:val="21"/>
              </w:rPr>
            </w:pPr>
          </w:p>
          <w:p>
            <w:pPr>
              <w:spacing w:after="60"/>
              <w:jc w:val="center"/>
              <w:rPr>
                <w:rFonts w:ascii="宋体" w:hAnsi="宋体" w:cs="宋体"/>
                <w:szCs w:val="21"/>
              </w:rPr>
            </w:pPr>
          </w:p>
          <w:p>
            <w:pPr>
              <w:pStyle w:val="139"/>
              <w:spacing w:before="65"/>
              <w:ind w:left="338"/>
              <w:jc w:val="center"/>
              <w:rPr>
                <w:sz w:val="21"/>
                <w:szCs w:val="21"/>
              </w:rPr>
            </w:pPr>
            <w:r>
              <w:rPr>
                <w:rFonts w:hint="eastAsia"/>
                <w:sz w:val="21"/>
                <w:szCs w:val="21"/>
              </w:rPr>
              <w:t>1</w:t>
            </w:r>
          </w:p>
        </w:tc>
        <w:tc>
          <w:tcPr>
            <w:tcW w:w="1888" w:type="dxa"/>
            <w:shd w:val="clear" w:color="auto" w:fill="auto"/>
            <w:vAlign w:val="center"/>
          </w:tcPr>
          <w:p>
            <w:pPr>
              <w:spacing w:after="60"/>
              <w:jc w:val="center"/>
              <w:rPr>
                <w:rFonts w:ascii="宋体" w:hAnsi="宋体" w:cs="宋体"/>
                <w:szCs w:val="21"/>
              </w:rPr>
            </w:pPr>
          </w:p>
          <w:p>
            <w:pPr>
              <w:spacing w:after="60"/>
              <w:jc w:val="center"/>
              <w:rPr>
                <w:rFonts w:ascii="宋体" w:hAnsi="宋体" w:cs="宋体"/>
                <w:szCs w:val="21"/>
              </w:rPr>
            </w:pPr>
          </w:p>
          <w:p>
            <w:pPr>
              <w:spacing w:after="60"/>
              <w:jc w:val="center"/>
              <w:rPr>
                <w:rFonts w:ascii="宋体" w:hAnsi="宋体" w:cs="宋体"/>
                <w:szCs w:val="21"/>
              </w:rPr>
            </w:pPr>
          </w:p>
          <w:p>
            <w:pPr>
              <w:spacing w:after="60"/>
              <w:jc w:val="center"/>
              <w:rPr>
                <w:rFonts w:ascii="宋体" w:hAnsi="宋体" w:cs="宋体"/>
                <w:szCs w:val="21"/>
              </w:rPr>
            </w:pPr>
          </w:p>
          <w:p>
            <w:pPr>
              <w:spacing w:after="60"/>
              <w:jc w:val="center"/>
              <w:rPr>
                <w:rFonts w:ascii="宋体" w:hAnsi="宋体" w:cs="宋体"/>
                <w:szCs w:val="21"/>
              </w:rPr>
            </w:pPr>
          </w:p>
          <w:p>
            <w:pPr>
              <w:spacing w:after="60"/>
              <w:jc w:val="center"/>
              <w:rPr>
                <w:rFonts w:ascii="宋体" w:hAnsi="宋体" w:cs="宋体"/>
                <w:szCs w:val="21"/>
              </w:rPr>
            </w:pPr>
          </w:p>
          <w:p>
            <w:pPr>
              <w:spacing w:after="60"/>
              <w:jc w:val="center"/>
              <w:rPr>
                <w:rFonts w:ascii="宋体" w:hAnsi="宋体" w:cs="宋体"/>
                <w:szCs w:val="21"/>
              </w:rPr>
            </w:pPr>
          </w:p>
          <w:p>
            <w:pPr>
              <w:pStyle w:val="139"/>
              <w:spacing w:before="65"/>
              <w:rPr>
                <w:sz w:val="21"/>
                <w:szCs w:val="21"/>
                <w:lang w:eastAsia="zh-CN"/>
              </w:rPr>
            </w:pPr>
            <w:r>
              <w:rPr>
                <w:rFonts w:hint="eastAsia"/>
                <w:sz w:val="21"/>
                <w:szCs w:val="21"/>
                <w:lang w:eastAsia="zh-CN"/>
              </w:rPr>
              <w:t>实施方案（工作措  施、工作方法、工  作手段、工作流程）</w:t>
            </w:r>
          </w:p>
        </w:tc>
        <w:tc>
          <w:tcPr>
            <w:tcW w:w="756" w:type="dxa"/>
            <w:shd w:val="clear" w:color="auto" w:fill="auto"/>
            <w:vAlign w:val="center"/>
          </w:tcPr>
          <w:p>
            <w:pPr>
              <w:spacing w:after="60"/>
              <w:jc w:val="center"/>
              <w:rPr>
                <w:rFonts w:ascii="宋体" w:hAnsi="宋体" w:cs="宋体"/>
                <w:szCs w:val="21"/>
              </w:rPr>
            </w:pPr>
          </w:p>
          <w:p>
            <w:pPr>
              <w:spacing w:after="60"/>
              <w:jc w:val="center"/>
              <w:rPr>
                <w:rFonts w:ascii="宋体" w:hAnsi="宋体" w:cs="宋体"/>
                <w:szCs w:val="21"/>
              </w:rPr>
            </w:pPr>
          </w:p>
          <w:p>
            <w:pPr>
              <w:spacing w:after="60"/>
              <w:jc w:val="center"/>
              <w:rPr>
                <w:rFonts w:ascii="宋体" w:hAnsi="宋体" w:cs="宋体"/>
                <w:szCs w:val="21"/>
              </w:rPr>
            </w:pPr>
          </w:p>
          <w:p>
            <w:pPr>
              <w:spacing w:after="60"/>
              <w:jc w:val="center"/>
              <w:rPr>
                <w:rFonts w:ascii="宋体" w:hAnsi="宋体" w:cs="宋体"/>
                <w:szCs w:val="21"/>
              </w:rPr>
            </w:pPr>
          </w:p>
          <w:p>
            <w:pPr>
              <w:spacing w:after="60"/>
              <w:jc w:val="center"/>
              <w:rPr>
                <w:rFonts w:ascii="宋体" w:hAnsi="宋体" w:cs="宋体"/>
                <w:szCs w:val="21"/>
              </w:rPr>
            </w:pPr>
          </w:p>
          <w:p>
            <w:pPr>
              <w:spacing w:after="60"/>
              <w:jc w:val="center"/>
              <w:rPr>
                <w:rFonts w:ascii="宋体" w:hAnsi="宋体" w:cs="宋体"/>
                <w:szCs w:val="21"/>
              </w:rPr>
            </w:pPr>
          </w:p>
          <w:p>
            <w:pPr>
              <w:spacing w:after="60"/>
              <w:jc w:val="center"/>
              <w:rPr>
                <w:rFonts w:ascii="宋体" w:hAnsi="宋体" w:cs="宋体"/>
                <w:szCs w:val="21"/>
              </w:rPr>
            </w:pPr>
          </w:p>
          <w:p>
            <w:pPr>
              <w:pStyle w:val="139"/>
              <w:spacing w:before="65"/>
              <w:ind w:left="277"/>
              <w:rPr>
                <w:sz w:val="21"/>
                <w:szCs w:val="21"/>
              </w:rPr>
            </w:pPr>
            <w:r>
              <w:rPr>
                <w:rFonts w:hint="eastAsia"/>
                <w:spacing w:val="-1"/>
                <w:sz w:val="21"/>
                <w:szCs w:val="21"/>
                <w:lang w:eastAsia="zh-CN"/>
              </w:rPr>
              <w:t>20</w:t>
            </w:r>
          </w:p>
        </w:tc>
        <w:tc>
          <w:tcPr>
            <w:tcW w:w="4786" w:type="dxa"/>
            <w:shd w:val="clear" w:color="auto" w:fill="auto"/>
            <w:vAlign w:val="center"/>
          </w:tcPr>
          <w:p>
            <w:pPr>
              <w:pStyle w:val="139"/>
              <w:spacing w:before="66"/>
              <w:ind w:right="43"/>
              <w:jc w:val="left"/>
              <w:rPr>
                <w:sz w:val="21"/>
                <w:szCs w:val="21"/>
                <w:lang w:eastAsia="zh-CN"/>
              </w:rPr>
            </w:pPr>
            <w:r>
              <w:rPr>
                <w:rFonts w:hint="eastAsia"/>
                <w:sz w:val="21"/>
                <w:szCs w:val="21"/>
                <w:lang w:eastAsia="zh-CN"/>
              </w:rPr>
              <w:t>项目实施方案中包括但不限于对项目的工作措施、工作方法、工作手段、工作流程。</w:t>
            </w:r>
          </w:p>
          <w:p>
            <w:pPr>
              <w:pStyle w:val="139"/>
              <w:spacing w:before="66"/>
              <w:ind w:right="43"/>
              <w:jc w:val="left"/>
              <w:rPr>
                <w:b/>
                <w:bCs/>
                <w:sz w:val="21"/>
                <w:szCs w:val="21"/>
                <w:lang w:eastAsia="zh-CN"/>
              </w:rPr>
            </w:pPr>
            <w:r>
              <w:rPr>
                <w:rFonts w:hint="eastAsia"/>
                <w:b/>
                <w:bCs/>
                <w:sz w:val="21"/>
                <w:szCs w:val="21"/>
                <w:lang w:eastAsia="zh-CN"/>
              </w:rPr>
              <w:t>评分标准：</w:t>
            </w:r>
          </w:p>
          <w:p>
            <w:pPr>
              <w:pStyle w:val="139"/>
              <w:spacing w:before="64" w:line="268" w:lineRule="auto"/>
              <w:ind w:left="115" w:right="108" w:firstLine="2"/>
              <w:jc w:val="left"/>
              <w:rPr>
                <w:spacing w:val="4"/>
                <w:sz w:val="21"/>
                <w:szCs w:val="21"/>
                <w:lang w:eastAsia="zh-CN"/>
              </w:rPr>
            </w:pPr>
            <w:r>
              <w:rPr>
                <w:rFonts w:hint="eastAsia"/>
                <w:spacing w:val="4"/>
                <w:sz w:val="21"/>
                <w:szCs w:val="21"/>
                <w:lang w:eastAsia="zh-CN"/>
              </w:rPr>
              <w:t>在此基础上，由评标委员会对</w:t>
            </w:r>
            <w:r>
              <w:rPr>
                <w:rFonts w:hint="eastAsia"/>
                <w:spacing w:val="8"/>
                <w:sz w:val="21"/>
                <w:szCs w:val="21"/>
                <w:lang w:eastAsia="zh-CN"/>
              </w:rPr>
              <w:t>实施方案</w:t>
            </w:r>
            <w:r>
              <w:rPr>
                <w:rFonts w:hint="eastAsia"/>
                <w:spacing w:val="4"/>
                <w:sz w:val="21"/>
                <w:szCs w:val="21"/>
                <w:lang w:eastAsia="zh-CN"/>
              </w:rPr>
              <w:t>进一步评审：</w:t>
            </w:r>
          </w:p>
          <w:p>
            <w:pPr>
              <w:pStyle w:val="139"/>
              <w:spacing w:before="66"/>
              <w:ind w:right="43"/>
              <w:jc w:val="left"/>
              <w:rPr>
                <w:sz w:val="21"/>
                <w:szCs w:val="21"/>
                <w:lang w:eastAsia="zh-CN"/>
              </w:rPr>
            </w:pPr>
            <w:r>
              <w:rPr>
                <w:rFonts w:hint="eastAsia"/>
                <w:sz w:val="21"/>
                <w:szCs w:val="21"/>
                <w:lang w:eastAsia="zh-CN"/>
              </w:rPr>
              <w:t>（1）实施方案内容全面。</w:t>
            </w:r>
          </w:p>
          <w:p>
            <w:pPr>
              <w:pStyle w:val="139"/>
              <w:spacing w:before="66"/>
              <w:ind w:right="43"/>
              <w:jc w:val="left"/>
              <w:rPr>
                <w:sz w:val="21"/>
                <w:szCs w:val="21"/>
                <w:lang w:eastAsia="zh-CN"/>
              </w:rPr>
            </w:pPr>
            <w:r>
              <w:rPr>
                <w:rFonts w:hint="eastAsia"/>
                <w:sz w:val="21"/>
                <w:szCs w:val="21"/>
                <w:lang w:eastAsia="zh-CN"/>
              </w:rPr>
              <w:t>（2）实施方案内容具体。</w:t>
            </w:r>
          </w:p>
          <w:p>
            <w:pPr>
              <w:pStyle w:val="139"/>
              <w:spacing w:before="66"/>
              <w:ind w:right="43"/>
              <w:jc w:val="left"/>
              <w:rPr>
                <w:sz w:val="21"/>
                <w:szCs w:val="21"/>
                <w:lang w:eastAsia="zh-CN"/>
              </w:rPr>
            </w:pPr>
            <w:r>
              <w:rPr>
                <w:rFonts w:hint="eastAsia"/>
                <w:sz w:val="21"/>
                <w:szCs w:val="21"/>
                <w:lang w:eastAsia="zh-CN"/>
              </w:rPr>
              <w:t>（3）实施方案内容科学合理。</w:t>
            </w:r>
          </w:p>
          <w:p>
            <w:pPr>
              <w:pStyle w:val="139"/>
              <w:spacing w:before="66"/>
              <w:ind w:right="43"/>
              <w:jc w:val="left"/>
              <w:rPr>
                <w:sz w:val="21"/>
                <w:szCs w:val="21"/>
                <w:lang w:eastAsia="zh-CN"/>
              </w:rPr>
            </w:pPr>
            <w:r>
              <w:rPr>
                <w:rFonts w:hint="eastAsia"/>
                <w:sz w:val="21"/>
                <w:szCs w:val="21"/>
                <w:lang w:eastAsia="zh-CN"/>
              </w:rPr>
              <w:t>（4）实施方案内容针对性强。</w:t>
            </w:r>
          </w:p>
          <w:p>
            <w:pPr>
              <w:pStyle w:val="139"/>
              <w:spacing w:before="66"/>
              <w:ind w:right="43"/>
              <w:jc w:val="left"/>
              <w:rPr>
                <w:sz w:val="21"/>
                <w:szCs w:val="21"/>
                <w:lang w:eastAsia="zh-CN"/>
              </w:rPr>
            </w:pPr>
            <w:r>
              <w:rPr>
                <w:rFonts w:hint="eastAsia"/>
                <w:sz w:val="21"/>
                <w:szCs w:val="21"/>
                <w:lang w:eastAsia="zh-CN"/>
              </w:rPr>
              <w:t>（5）实施方案内容可操作性强。</w:t>
            </w:r>
          </w:p>
          <w:p>
            <w:pPr>
              <w:pStyle w:val="139"/>
              <w:spacing w:before="66"/>
              <w:ind w:right="43"/>
              <w:jc w:val="left"/>
              <w:rPr>
                <w:sz w:val="21"/>
                <w:szCs w:val="21"/>
                <w:lang w:eastAsia="zh-CN"/>
              </w:rPr>
            </w:pPr>
            <w:r>
              <w:rPr>
                <w:rFonts w:hint="eastAsia"/>
                <w:sz w:val="21"/>
                <w:szCs w:val="21"/>
                <w:lang w:eastAsia="zh-CN"/>
              </w:rPr>
              <w:t>优评分标准：满足以上五项要求的评价为优，得 20分。</w:t>
            </w:r>
          </w:p>
          <w:p>
            <w:pPr>
              <w:pStyle w:val="139"/>
              <w:spacing w:before="66"/>
              <w:ind w:right="43"/>
              <w:jc w:val="left"/>
              <w:rPr>
                <w:sz w:val="21"/>
                <w:szCs w:val="21"/>
                <w:lang w:eastAsia="zh-CN"/>
              </w:rPr>
            </w:pPr>
            <w:r>
              <w:rPr>
                <w:rFonts w:hint="eastAsia"/>
                <w:sz w:val="21"/>
                <w:szCs w:val="21"/>
                <w:lang w:eastAsia="zh-CN"/>
              </w:rPr>
              <w:t>良评分标准：满足以上四项要求的评价为良，得 16分。</w:t>
            </w:r>
          </w:p>
          <w:p>
            <w:pPr>
              <w:pStyle w:val="139"/>
              <w:spacing w:before="66"/>
              <w:ind w:right="43"/>
              <w:jc w:val="left"/>
              <w:rPr>
                <w:sz w:val="21"/>
                <w:szCs w:val="21"/>
                <w:lang w:eastAsia="zh-CN"/>
              </w:rPr>
            </w:pPr>
            <w:r>
              <w:rPr>
                <w:rFonts w:hint="eastAsia"/>
                <w:sz w:val="21"/>
                <w:szCs w:val="21"/>
                <w:lang w:eastAsia="zh-CN"/>
              </w:rPr>
              <w:t>中评分标准：满足以上三项要求的评价为中，得 15分。</w:t>
            </w:r>
          </w:p>
          <w:p>
            <w:pPr>
              <w:pStyle w:val="139"/>
              <w:spacing w:before="66"/>
              <w:ind w:right="43"/>
              <w:jc w:val="left"/>
              <w:rPr>
                <w:sz w:val="21"/>
                <w:szCs w:val="21"/>
                <w:lang w:eastAsia="zh-CN"/>
              </w:rPr>
            </w:pPr>
            <w:r>
              <w:rPr>
                <w:rFonts w:hint="eastAsia"/>
                <w:sz w:val="21"/>
                <w:szCs w:val="21"/>
                <w:lang w:eastAsia="zh-CN"/>
              </w:rPr>
              <w:t>差评分标准：上述情况之外的，评差不得分。</w:t>
            </w:r>
          </w:p>
        </w:tc>
        <w:tc>
          <w:tcPr>
            <w:tcW w:w="1183" w:type="dxa"/>
            <w:shd w:val="clear" w:color="auto" w:fill="auto"/>
            <w:vAlign w:val="center"/>
          </w:tcPr>
          <w:p>
            <w:pPr>
              <w:spacing w:after="60"/>
              <w:rPr>
                <w:rFonts w:ascii="宋体" w:hAnsi="宋体" w:cs="宋体"/>
                <w:szCs w:val="21"/>
              </w:rPr>
            </w:pPr>
          </w:p>
          <w:p>
            <w:pPr>
              <w:spacing w:after="60"/>
              <w:jc w:val="center"/>
              <w:rPr>
                <w:rFonts w:ascii="宋体" w:hAnsi="宋体" w:cs="宋体"/>
                <w:szCs w:val="21"/>
              </w:rPr>
            </w:pPr>
          </w:p>
          <w:p>
            <w:pPr>
              <w:pStyle w:val="139"/>
              <w:spacing w:before="65"/>
              <w:rPr>
                <w:sz w:val="21"/>
                <w:szCs w:val="21"/>
              </w:rPr>
            </w:pPr>
            <w:r>
              <w:rPr>
                <w:rFonts w:hint="eastAsia"/>
                <w:spacing w:val="7"/>
                <w:sz w:val="21"/>
                <w:szCs w:val="21"/>
              </w:rPr>
              <w:t>专家打分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5" w:hRule="atLeast"/>
          <w:jc w:val="center"/>
        </w:trPr>
        <w:tc>
          <w:tcPr>
            <w:tcW w:w="747" w:type="dxa"/>
            <w:shd w:val="clear" w:color="auto" w:fill="auto"/>
            <w:vAlign w:val="center"/>
          </w:tcPr>
          <w:p>
            <w:pPr>
              <w:spacing w:after="60"/>
              <w:jc w:val="center"/>
              <w:rPr>
                <w:rFonts w:ascii="宋体" w:hAnsi="宋体" w:cs="宋体"/>
                <w:szCs w:val="21"/>
              </w:rPr>
            </w:pPr>
          </w:p>
          <w:p>
            <w:pPr>
              <w:pStyle w:val="139"/>
              <w:spacing w:before="65"/>
              <w:ind w:left="325"/>
              <w:jc w:val="center"/>
              <w:rPr>
                <w:sz w:val="21"/>
                <w:szCs w:val="21"/>
              </w:rPr>
            </w:pPr>
            <w:r>
              <w:rPr>
                <w:rFonts w:hint="eastAsia"/>
                <w:sz w:val="21"/>
                <w:szCs w:val="21"/>
              </w:rPr>
              <w:t>2</w:t>
            </w:r>
          </w:p>
        </w:tc>
        <w:tc>
          <w:tcPr>
            <w:tcW w:w="1888" w:type="dxa"/>
            <w:shd w:val="clear" w:color="auto" w:fill="auto"/>
            <w:vAlign w:val="center"/>
          </w:tcPr>
          <w:p>
            <w:pPr>
              <w:spacing w:after="60"/>
              <w:jc w:val="center"/>
              <w:rPr>
                <w:rFonts w:ascii="宋体" w:hAnsi="宋体" w:cs="宋体"/>
                <w:szCs w:val="21"/>
              </w:rPr>
            </w:pPr>
          </w:p>
          <w:p>
            <w:pPr>
              <w:spacing w:after="60"/>
              <w:jc w:val="center"/>
              <w:rPr>
                <w:rFonts w:ascii="宋体" w:hAnsi="宋体" w:cs="宋体"/>
                <w:szCs w:val="21"/>
              </w:rPr>
            </w:pPr>
          </w:p>
          <w:p>
            <w:pPr>
              <w:pStyle w:val="139"/>
              <w:spacing w:before="65"/>
              <w:rPr>
                <w:sz w:val="21"/>
                <w:szCs w:val="21"/>
                <w:lang w:eastAsia="zh-CN"/>
              </w:rPr>
            </w:pPr>
            <w:r>
              <w:rPr>
                <w:rFonts w:hint="eastAsia"/>
                <w:sz w:val="21"/>
                <w:szCs w:val="21"/>
                <w:lang w:eastAsia="zh-CN"/>
              </w:rPr>
              <w:t>项目重点难点分析、应对措施及相关的合理化建议</w:t>
            </w:r>
          </w:p>
        </w:tc>
        <w:tc>
          <w:tcPr>
            <w:tcW w:w="756" w:type="dxa"/>
            <w:shd w:val="clear" w:color="auto" w:fill="auto"/>
            <w:vAlign w:val="center"/>
          </w:tcPr>
          <w:p>
            <w:pPr>
              <w:spacing w:after="60"/>
              <w:jc w:val="center"/>
              <w:rPr>
                <w:rFonts w:ascii="宋体" w:hAnsi="宋体" w:cs="宋体"/>
                <w:szCs w:val="21"/>
              </w:rPr>
            </w:pPr>
          </w:p>
          <w:p>
            <w:pPr>
              <w:pStyle w:val="139"/>
              <w:spacing w:before="65"/>
              <w:ind w:left="277"/>
              <w:rPr>
                <w:sz w:val="21"/>
                <w:szCs w:val="21"/>
              </w:rPr>
            </w:pPr>
            <w:r>
              <w:rPr>
                <w:rFonts w:hint="eastAsia"/>
                <w:spacing w:val="-1"/>
                <w:sz w:val="21"/>
                <w:szCs w:val="21"/>
                <w:lang w:eastAsia="zh-CN"/>
              </w:rPr>
              <w:t>15</w:t>
            </w:r>
          </w:p>
        </w:tc>
        <w:tc>
          <w:tcPr>
            <w:tcW w:w="4786" w:type="dxa"/>
            <w:shd w:val="clear" w:color="auto" w:fill="auto"/>
            <w:vAlign w:val="center"/>
          </w:tcPr>
          <w:p>
            <w:pPr>
              <w:pStyle w:val="139"/>
              <w:spacing w:before="66"/>
              <w:ind w:right="43"/>
              <w:jc w:val="left"/>
              <w:rPr>
                <w:b/>
                <w:bCs/>
                <w:sz w:val="21"/>
                <w:szCs w:val="21"/>
                <w:lang w:eastAsia="zh-CN"/>
              </w:rPr>
            </w:pPr>
          </w:p>
          <w:p>
            <w:pPr>
              <w:pStyle w:val="139"/>
              <w:spacing w:before="66"/>
              <w:ind w:right="43"/>
              <w:jc w:val="left"/>
              <w:rPr>
                <w:sz w:val="21"/>
                <w:szCs w:val="21"/>
                <w:lang w:eastAsia="zh-CN"/>
              </w:rPr>
            </w:pPr>
            <w:r>
              <w:rPr>
                <w:rFonts w:hint="eastAsia"/>
                <w:sz w:val="21"/>
                <w:szCs w:val="21"/>
                <w:lang w:eastAsia="zh-CN"/>
              </w:rPr>
              <w:t>投标人应根据采购文件服务需求提供项目突发应急采购重点难点分析、应对措施及相关的合理化建议内容包括但不限于：</w:t>
            </w:r>
          </w:p>
          <w:p>
            <w:pPr>
              <w:pStyle w:val="139"/>
              <w:spacing w:before="66"/>
              <w:ind w:right="43"/>
              <w:jc w:val="left"/>
              <w:rPr>
                <w:sz w:val="21"/>
                <w:szCs w:val="21"/>
                <w:lang w:eastAsia="zh-CN"/>
              </w:rPr>
            </w:pPr>
            <w:r>
              <w:rPr>
                <w:rFonts w:hint="eastAsia"/>
                <w:sz w:val="21"/>
                <w:szCs w:val="21"/>
                <w:lang w:eastAsia="zh-CN"/>
              </w:rPr>
              <w:t>（1）重点难点分析；</w:t>
            </w:r>
          </w:p>
          <w:p>
            <w:pPr>
              <w:pStyle w:val="139"/>
              <w:spacing w:before="66"/>
              <w:ind w:right="43"/>
              <w:jc w:val="left"/>
              <w:rPr>
                <w:sz w:val="21"/>
                <w:szCs w:val="21"/>
                <w:lang w:eastAsia="zh-CN"/>
              </w:rPr>
            </w:pPr>
            <w:r>
              <w:rPr>
                <w:rFonts w:hint="eastAsia"/>
                <w:sz w:val="21"/>
                <w:szCs w:val="21"/>
                <w:lang w:eastAsia="zh-CN"/>
              </w:rPr>
              <w:t>（2）应对措施；</w:t>
            </w:r>
          </w:p>
          <w:p>
            <w:pPr>
              <w:pStyle w:val="139"/>
              <w:spacing w:before="66"/>
              <w:ind w:right="43"/>
              <w:jc w:val="left"/>
              <w:rPr>
                <w:sz w:val="21"/>
                <w:szCs w:val="21"/>
                <w:lang w:eastAsia="zh-CN"/>
              </w:rPr>
            </w:pPr>
            <w:r>
              <w:rPr>
                <w:rFonts w:hint="eastAsia"/>
                <w:sz w:val="21"/>
                <w:szCs w:val="21"/>
                <w:lang w:eastAsia="zh-CN"/>
              </w:rPr>
              <w:t>（3）合理化建议。</w:t>
            </w:r>
          </w:p>
          <w:p>
            <w:pPr>
              <w:pStyle w:val="139"/>
              <w:spacing w:before="66"/>
              <w:ind w:right="43"/>
              <w:jc w:val="left"/>
              <w:rPr>
                <w:sz w:val="21"/>
                <w:szCs w:val="21"/>
                <w:lang w:eastAsia="zh-CN"/>
              </w:rPr>
            </w:pPr>
            <w:r>
              <w:rPr>
                <w:rFonts w:hint="eastAsia"/>
                <w:sz w:val="21"/>
                <w:szCs w:val="21"/>
                <w:lang w:eastAsia="zh-CN"/>
              </w:rPr>
              <w:t>满足以上任意一项内容得5分，最高 15分。</w:t>
            </w:r>
          </w:p>
          <w:p>
            <w:pPr>
              <w:pStyle w:val="139"/>
              <w:spacing w:before="66"/>
              <w:ind w:right="43"/>
              <w:jc w:val="left"/>
              <w:rPr>
                <w:sz w:val="21"/>
                <w:szCs w:val="21"/>
                <w:lang w:eastAsia="zh-CN"/>
              </w:rPr>
            </w:pPr>
          </w:p>
        </w:tc>
        <w:tc>
          <w:tcPr>
            <w:tcW w:w="1183" w:type="dxa"/>
            <w:shd w:val="clear" w:color="auto" w:fill="auto"/>
            <w:vAlign w:val="center"/>
          </w:tcPr>
          <w:p>
            <w:pPr>
              <w:spacing w:after="60"/>
              <w:rPr>
                <w:rFonts w:ascii="宋体" w:hAnsi="宋体" w:cs="宋体"/>
                <w:szCs w:val="21"/>
              </w:rPr>
            </w:pPr>
          </w:p>
          <w:p>
            <w:pPr>
              <w:spacing w:after="60"/>
              <w:jc w:val="center"/>
              <w:rPr>
                <w:rFonts w:ascii="宋体" w:hAnsi="宋体" w:cs="宋体"/>
                <w:szCs w:val="21"/>
              </w:rPr>
            </w:pPr>
          </w:p>
          <w:p>
            <w:pPr>
              <w:pStyle w:val="139"/>
              <w:spacing w:before="65"/>
              <w:rPr>
                <w:sz w:val="21"/>
                <w:szCs w:val="21"/>
              </w:rPr>
            </w:pPr>
            <w:r>
              <w:rPr>
                <w:rFonts w:hint="eastAsia"/>
                <w:spacing w:val="7"/>
                <w:sz w:val="21"/>
                <w:szCs w:val="21"/>
              </w:rPr>
              <w:t>专家打分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0" w:hRule="atLeast"/>
          <w:jc w:val="center"/>
        </w:trPr>
        <w:tc>
          <w:tcPr>
            <w:tcW w:w="747" w:type="dxa"/>
            <w:shd w:val="clear" w:color="auto" w:fill="auto"/>
            <w:vAlign w:val="center"/>
          </w:tcPr>
          <w:p>
            <w:pPr>
              <w:spacing w:after="60"/>
              <w:jc w:val="center"/>
              <w:rPr>
                <w:rFonts w:ascii="宋体" w:hAnsi="宋体" w:cs="宋体"/>
                <w:szCs w:val="21"/>
              </w:rPr>
            </w:pPr>
          </w:p>
          <w:p>
            <w:pPr>
              <w:pStyle w:val="139"/>
              <w:spacing w:before="65"/>
              <w:ind w:left="327"/>
              <w:jc w:val="center"/>
              <w:rPr>
                <w:sz w:val="21"/>
                <w:szCs w:val="21"/>
              </w:rPr>
            </w:pPr>
          </w:p>
          <w:p>
            <w:pPr>
              <w:pStyle w:val="139"/>
              <w:spacing w:before="65"/>
              <w:ind w:left="327"/>
              <w:jc w:val="center"/>
              <w:rPr>
                <w:sz w:val="21"/>
                <w:szCs w:val="21"/>
              </w:rPr>
            </w:pPr>
            <w:r>
              <w:rPr>
                <w:rFonts w:hint="eastAsia"/>
                <w:sz w:val="21"/>
                <w:szCs w:val="21"/>
              </w:rPr>
              <w:t>3</w:t>
            </w:r>
          </w:p>
        </w:tc>
        <w:tc>
          <w:tcPr>
            <w:tcW w:w="1888" w:type="dxa"/>
            <w:shd w:val="clear" w:color="auto" w:fill="auto"/>
            <w:vAlign w:val="center"/>
          </w:tcPr>
          <w:p>
            <w:pPr>
              <w:pStyle w:val="139"/>
              <w:spacing w:before="65"/>
              <w:ind w:left="315"/>
              <w:jc w:val="center"/>
              <w:rPr>
                <w:spacing w:val="8"/>
                <w:sz w:val="21"/>
                <w:szCs w:val="21"/>
                <w:lang w:eastAsia="zh-CN"/>
              </w:rPr>
            </w:pPr>
          </w:p>
          <w:p>
            <w:pPr>
              <w:pStyle w:val="139"/>
              <w:spacing w:before="65"/>
              <w:ind w:left="315"/>
              <w:jc w:val="center"/>
              <w:rPr>
                <w:spacing w:val="8"/>
                <w:sz w:val="21"/>
                <w:szCs w:val="21"/>
                <w:lang w:eastAsia="zh-CN"/>
              </w:rPr>
            </w:pPr>
          </w:p>
          <w:p>
            <w:pPr>
              <w:pStyle w:val="139"/>
              <w:spacing w:before="65"/>
              <w:rPr>
                <w:sz w:val="21"/>
                <w:szCs w:val="21"/>
                <w:lang w:eastAsia="zh-CN"/>
              </w:rPr>
            </w:pPr>
            <w:r>
              <w:rPr>
                <w:rFonts w:hint="eastAsia"/>
                <w:sz w:val="21"/>
                <w:szCs w:val="21"/>
                <w:lang w:eastAsia="zh-CN"/>
              </w:rPr>
              <w:t>质量（完成时间、</w:t>
            </w:r>
          </w:p>
          <w:p>
            <w:pPr>
              <w:pStyle w:val="139"/>
              <w:spacing w:before="65"/>
              <w:rPr>
                <w:sz w:val="21"/>
                <w:szCs w:val="21"/>
                <w:lang w:eastAsia="zh-CN"/>
              </w:rPr>
            </w:pPr>
            <w:r>
              <w:rPr>
                <w:rFonts w:hint="eastAsia"/>
                <w:sz w:val="21"/>
                <w:szCs w:val="21"/>
                <w:lang w:eastAsia="zh-CN"/>
              </w:rPr>
              <w:t>安全、环保）保障 措施及方案</w:t>
            </w:r>
          </w:p>
        </w:tc>
        <w:tc>
          <w:tcPr>
            <w:tcW w:w="756" w:type="dxa"/>
            <w:shd w:val="clear" w:color="auto" w:fill="auto"/>
            <w:vAlign w:val="center"/>
          </w:tcPr>
          <w:p>
            <w:pPr>
              <w:pStyle w:val="139"/>
              <w:spacing w:before="65"/>
              <w:ind w:left="277"/>
              <w:jc w:val="center"/>
              <w:rPr>
                <w:spacing w:val="-1"/>
                <w:sz w:val="21"/>
                <w:szCs w:val="21"/>
                <w:lang w:eastAsia="zh-CN"/>
              </w:rPr>
            </w:pPr>
          </w:p>
          <w:p>
            <w:pPr>
              <w:pStyle w:val="139"/>
              <w:spacing w:before="65"/>
              <w:ind w:firstLine="208" w:firstLineChars="100"/>
              <w:jc w:val="center"/>
              <w:rPr>
                <w:sz w:val="21"/>
                <w:szCs w:val="21"/>
                <w:lang w:eastAsia="zh-CN"/>
              </w:rPr>
            </w:pPr>
            <w:r>
              <w:rPr>
                <w:rFonts w:hint="eastAsia"/>
                <w:spacing w:val="-1"/>
                <w:sz w:val="21"/>
                <w:szCs w:val="21"/>
                <w:lang w:eastAsia="zh-CN"/>
              </w:rPr>
              <w:t>15</w:t>
            </w:r>
          </w:p>
        </w:tc>
        <w:tc>
          <w:tcPr>
            <w:tcW w:w="4786" w:type="dxa"/>
            <w:shd w:val="clear" w:color="auto" w:fill="auto"/>
            <w:vAlign w:val="center"/>
          </w:tcPr>
          <w:p>
            <w:pPr>
              <w:pStyle w:val="139"/>
              <w:spacing w:before="53"/>
              <w:ind w:right="99"/>
              <w:jc w:val="left"/>
              <w:rPr>
                <w:b/>
                <w:bCs/>
                <w:sz w:val="21"/>
                <w:szCs w:val="21"/>
                <w:lang w:eastAsia="zh-CN"/>
              </w:rPr>
            </w:pPr>
            <w:r>
              <w:rPr>
                <w:rFonts w:hint="eastAsia"/>
                <w:sz w:val="21"/>
                <w:szCs w:val="21"/>
                <w:lang w:eastAsia="zh-CN"/>
              </w:rPr>
              <w:t>投标人需针对本项目提供质量（完成时间、安全、环保）保障 措施及方案方案内容包括但不限于：</w:t>
            </w:r>
          </w:p>
          <w:p>
            <w:pPr>
              <w:pStyle w:val="139"/>
              <w:spacing w:before="53"/>
              <w:ind w:right="99"/>
              <w:jc w:val="left"/>
              <w:rPr>
                <w:sz w:val="21"/>
                <w:szCs w:val="21"/>
                <w:lang w:eastAsia="zh-CN"/>
              </w:rPr>
            </w:pPr>
            <w:r>
              <w:rPr>
                <w:rFonts w:hint="eastAsia"/>
                <w:sz w:val="21"/>
                <w:szCs w:val="21"/>
                <w:lang w:eastAsia="zh-CN"/>
              </w:rPr>
              <w:t>（1）制作、工艺保证措施；</w:t>
            </w:r>
          </w:p>
          <w:p>
            <w:pPr>
              <w:pStyle w:val="139"/>
              <w:spacing w:before="53"/>
              <w:ind w:right="99"/>
              <w:jc w:val="left"/>
              <w:rPr>
                <w:sz w:val="21"/>
                <w:szCs w:val="21"/>
                <w:lang w:eastAsia="zh-CN"/>
              </w:rPr>
            </w:pPr>
            <w:r>
              <w:rPr>
                <w:rFonts w:hint="eastAsia"/>
                <w:sz w:val="21"/>
                <w:szCs w:val="21"/>
                <w:lang w:eastAsia="zh-CN"/>
              </w:rPr>
              <w:t>（2）健康、环保无危害保证措施；</w:t>
            </w:r>
          </w:p>
          <w:p>
            <w:pPr>
              <w:pStyle w:val="139"/>
              <w:spacing w:before="53"/>
              <w:ind w:right="99"/>
              <w:jc w:val="left"/>
              <w:rPr>
                <w:sz w:val="21"/>
                <w:szCs w:val="21"/>
                <w:lang w:eastAsia="zh-CN"/>
              </w:rPr>
            </w:pPr>
            <w:r>
              <w:rPr>
                <w:rFonts w:hint="eastAsia"/>
                <w:sz w:val="21"/>
                <w:szCs w:val="21"/>
                <w:lang w:eastAsia="zh-CN"/>
              </w:rPr>
              <w:t>（3）按时按质交付保证措施；</w:t>
            </w:r>
          </w:p>
          <w:p>
            <w:pPr>
              <w:pStyle w:val="139"/>
              <w:spacing w:before="53"/>
              <w:ind w:right="99"/>
              <w:jc w:val="left"/>
              <w:rPr>
                <w:sz w:val="21"/>
                <w:szCs w:val="21"/>
                <w:lang w:eastAsia="zh-CN"/>
              </w:rPr>
            </w:pPr>
            <w:r>
              <w:rPr>
                <w:rFonts w:hint="eastAsia"/>
                <w:sz w:val="21"/>
                <w:szCs w:val="21"/>
                <w:lang w:eastAsia="zh-CN"/>
              </w:rPr>
              <w:t>满足以上任意一项内容得5 分，最高 15分。</w:t>
            </w:r>
          </w:p>
          <w:p>
            <w:pPr>
              <w:pStyle w:val="139"/>
              <w:spacing w:before="53"/>
              <w:ind w:right="99"/>
              <w:jc w:val="left"/>
              <w:rPr>
                <w:b/>
                <w:bCs/>
                <w:sz w:val="21"/>
                <w:szCs w:val="21"/>
                <w:lang w:eastAsia="zh-CN"/>
              </w:rPr>
            </w:pPr>
            <w:r>
              <w:rPr>
                <w:rFonts w:hint="eastAsia"/>
                <w:b/>
                <w:bCs/>
                <w:sz w:val="21"/>
                <w:szCs w:val="21"/>
                <w:lang w:eastAsia="zh-CN"/>
              </w:rPr>
              <w:t>评分标准：</w:t>
            </w:r>
          </w:p>
          <w:p>
            <w:pPr>
              <w:pStyle w:val="139"/>
              <w:spacing w:before="53"/>
              <w:ind w:right="99"/>
              <w:jc w:val="left"/>
              <w:rPr>
                <w:sz w:val="21"/>
                <w:szCs w:val="21"/>
                <w:lang w:eastAsia="zh-CN"/>
              </w:rPr>
            </w:pPr>
            <w:r>
              <w:rPr>
                <w:rFonts w:hint="eastAsia"/>
                <w:sz w:val="21"/>
                <w:szCs w:val="21"/>
                <w:lang w:eastAsia="zh-CN"/>
              </w:rPr>
              <w:t>在此基础上，由评标委员会对实施方案进一步评审：</w:t>
            </w:r>
          </w:p>
          <w:p>
            <w:pPr>
              <w:pStyle w:val="139"/>
              <w:spacing w:before="53"/>
              <w:ind w:right="99"/>
              <w:jc w:val="left"/>
              <w:rPr>
                <w:sz w:val="21"/>
                <w:szCs w:val="21"/>
                <w:lang w:eastAsia="zh-CN"/>
              </w:rPr>
            </w:pPr>
            <w:r>
              <w:rPr>
                <w:rFonts w:hint="eastAsia"/>
                <w:sz w:val="21"/>
                <w:szCs w:val="21"/>
                <w:lang w:eastAsia="zh-CN"/>
              </w:rPr>
              <w:t>（1）质量保障措施及方案内容全面。</w:t>
            </w:r>
          </w:p>
          <w:p>
            <w:pPr>
              <w:pStyle w:val="139"/>
              <w:spacing w:before="53"/>
              <w:ind w:right="99"/>
              <w:jc w:val="left"/>
              <w:rPr>
                <w:sz w:val="21"/>
                <w:szCs w:val="21"/>
                <w:lang w:eastAsia="zh-CN"/>
              </w:rPr>
            </w:pPr>
            <w:r>
              <w:rPr>
                <w:rFonts w:hint="eastAsia"/>
                <w:sz w:val="21"/>
                <w:szCs w:val="21"/>
                <w:lang w:eastAsia="zh-CN"/>
              </w:rPr>
              <w:t>（2）质量保障措施及方案内容具体。</w:t>
            </w:r>
          </w:p>
          <w:p>
            <w:pPr>
              <w:pStyle w:val="139"/>
              <w:spacing w:before="53"/>
              <w:ind w:right="99"/>
              <w:jc w:val="left"/>
              <w:rPr>
                <w:sz w:val="21"/>
                <w:szCs w:val="21"/>
                <w:lang w:eastAsia="zh-CN"/>
              </w:rPr>
            </w:pPr>
            <w:r>
              <w:rPr>
                <w:rFonts w:hint="eastAsia"/>
                <w:sz w:val="21"/>
                <w:szCs w:val="21"/>
                <w:lang w:eastAsia="zh-CN"/>
              </w:rPr>
              <w:t>（3）质量保障措施及方案内容科学合理。</w:t>
            </w:r>
          </w:p>
          <w:p>
            <w:pPr>
              <w:pStyle w:val="139"/>
              <w:spacing w:before="53"/>
              <w:ind w:right="99"/>
              <w:jc w:val="left"/>
              <w:rPr>
                <w:sz w:val="21"/>
                <w:szCs w:val="21"/>
                <w:lang w:eastAsia="zh-CN"/>
              </w:rPr>
            </w:pPr>
            <w:r>
              <w:rPr>
                <w:rFonts w:hint="eastAsia"/>
                <w:sz w:val="21"/>
                <w:szCs w:val="21"/>
                <w:lang w:eastAsia="zh-CN"/>
              </w:rPr>
              <w:t>（4）质量保障措施及方案内容针对性强。</w:t>
            </w:r>
          </w:p>
          <w:p>
            <w:pPr>
              <w:pStyle w:val="139"/>
              <w:spacing w:before="53"/>
              <w:ind w:right="99"/>
              <w:jc w:val="left"/>
              <w:rPr>
                <w:sz w:val="21"/>
                <w:szCs w:val="21"/>
                <w:lang w:eastAsia="zh-CN"/>
              </w:rPr>
            </w:pPr>
            <w:r>
              <w:rPr>
                <w:rFonts w:hint="eastAsia"/>
                <w:sz w:val="21"/>
                <w:szCs w:val="21"/>
                <w:lang w:eastAsia="zh-CN"/>
              </w:rPr>
              <w:t>（5）质量保障措施及方案内容可操作性强。</w:t>
            </w:r>
          </w:p>
          <w:p>
            <w:pPr>
              <w:pStyle w:val="139"/>
              <w:spacing w:before="53"/>
              <w:ind w:right="99"/>
              <w:jc w:val="left"/>
              <w:rPr>
                <w:sz w:val="21"/>
                <w:szCs w:val="21"/>
                <w:lang w:eastAsia="zh-CN"/>
              </w:rPr>
            </w:pPr>
            <w:r>
              <w:rPr>
                <w:rFonts w:hint="eastAsia"/>
                <w:sz w:val="21"/>
                <w:szCs w:val="21"/>
                <w:lang w:eastAsia="zh-CN"/>
              </w:rPr>
              <w:t>优评分标准：满足以上五项要求的评价为优，得 15分。</w:t>
            </w:r>
          </w:p>
          <w:p>
            <w:pPr>
              <w:pStyle w:val="139"/>
              <w:spacing w:before="53"/>
              <w:ind w:right="99"/>
              <w:jc w:val="left"/>
              <w:rPr>
                <w:sz w:val="21"/>
                <w:szCs w:val="21"/>
                <w:lang w:eastAsia="zh-CN"/>
              </w:rPr>
            </w:pPr>
            <w:r>
              <w:rPr>
                <w:rFonts w:hint="eastAsia"/>
                <w:sz w:val="21"/>
                <w:szCs w:val="21"/>
                <w:lang w:eastAsia="zh-CN"/>
              </w:rPr>
              <w:t>良评分标准：满足以上四项要求的评价为良，得 12分。</w:t>
            </w:r>
          </w:p>
          <w:p>
            <w:pPr>
              <w:pStyle w:val="139"/>
              <w:spacing w:before="53"/>
              <w:ind w:right="99"/>
              <w:jc w:val="left"/>
              <w:rPr>
                <w:sz w:val="21"/>
                <w:szCs w:val="21"/>
                <w:lang w:eastAsia="zh-CN"/>
              </w:rPr>
            </w:pPr>
            <w:r>
              <w:rPr>
                <w:rFonts w:hint="eastAsia"/>
                <w:sz w:val="21"/>
                <w:szCs w:val="21"/>
                <w:lang w:eastAsia="zh-CN"/>
              </w:rPr>
              <w:t>中评分标准：满足以上三项要求的评价为中，得 9分。</w:t>
            </w:r>
          </w:p>
          <w:p>
            <w:pPr>
              <w:pStyle w:val="139"/>
              <w:spacing w:before="53"/>
              <w:ind w:right="99"/>
              <w:jc w:val="left"/>
              <w:rPr>
                <w:sz w:val="21"/>
                <w:szCs w:val="21"/>
                <w:lang w:eastAsia="zh-CN"/>
              </w:rPr>
            </w:pPr>
            <w:r>
              <w:rPr>
                <w:rFonts w:hint="eastAsia"/>
                <w:sz w:val="21"/>
                <w:szCs w:val="21"/>
                <w:lang w:eastAsia="zh-CN"/>
              </w:rPr>
              <w:t>差评分标准：上述情况之外的，评差不得分。</w:t>
            </w:r>
          </w:p>
        </w:tc>
        <w:tc>
          <w:tcPr>
            <w:tcW w:w="1183" w:type="dxa"/>
            <w:shd w:val="clear" w:color="auto" w:fill="auto"/>
            <w:vAlign w:val="center"/>
          </w:tcPr>
          <w:p>
            <w:pPr>
              <w:spacing w:after="60"/>
              <w:rPr>
                <w:rFonts w:ascii="宋体" w:hAnsi="宋体" w:cs="宋体"/>
                <w:szCs w:val="21"/>
              </w:rPr>
            </w:pPr>
          </w:p>
          <w:p>
            <w:pPr>
              <w:pStyle w:val="139"/>
              <w:spacing w:before="65"/>
              <w:rPr>
                <w:sz w:val="21"/>
                <w:szCs w:val="21"/>
              </w:rPr>
            </w:pPr>
            <w:r>
              <w:rPr>
                <w:rFonts w:hint="eastAsia"/>
                <w:spacing w:val="7"/>
                <w:sz w:val="21"/>
                <w:szCs w:val="21"/>
              </w:rPr>
              <w:t>专家打分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747" w:type="dxa"/>
            <w:shd w:val="clear" w:color="auto" w:fill="auto"/>
            <w:vAlign w:val="center"/>
          </w:tcPr>
          <w:p>
            <w:pPr>
              <w:pStyle w:val="139"/>
              <w:spacing w:before="65"/>
              <w:ind w:left="327"/>
              <w:jc w:val="center"/>
              <w:rPr>
                <w:sz w:val="21"/>
                <w:szCs w:val="21"/>
                <w:lang w:eastAsia="zh-CN"/>
              </w:rPr>
            </w:pPr>
            <w:r>
              <w:rPr>
                <w:rFonts w:hint="eastAsia"/>
                <w:sz w:val="21"/>
                <w:szCs w:val="21"/>
                <w:lang w:eastAsia="zh-CN"/>
              </w:rPr>
              <w:t>4</w:t>
            </w:r>
          </w:p>
        </w:tc>
        <w:tc>
          <w:tcPr>
            <w:tcW w:w="1888" w:type="dxa"/>
            <w:shd w:val="clear" w:color="auto" w:fill="auto"/>
            <w:vAlign w:val="center"/>
          </w:tcPr>
          <w:p>
            <w:pPr>
              <w:pStyle w:val="139"/>
              <w:spacing w:before="65"/>
              <w:rPr>
                <w:sz w:val="21"/>
                <w:szCs w:val="21"/>
                <w:lang w:eastAsia="zh-CN"/>
              </w:rPr>
            </w:pPr>
            <w:r>
              <w:rPr>
                <w:rFonts w:hint="eastAsia"/>
                <w:sz w:val="21"/>
                <w:szCs w:val="21"/>
                <w:lang w:eastAsia="zh-CN"/>
              </w:rPr>
              <w:t>项目完成（服务期 满）后的服务承诺</w:t>
            </w:r>
          </w:p>
        </w:tc>
        <w:tc>
          <w:tcPr>
            <w:tcW w:w="756" w:type="dxa"/>
            <w:shd w:val="clear" w:color="auto" w:fill="auto"/>
            <w:vAlign w:val="center"/>
          </w:tcPr>
          <w:p>
            <w:pPr>
              <w:pStyle w:val="139"/>
              <w:spacing w:before="65"/>
              <w:ind w:firstLine="208" w:firstLineChars="100"/>
              <w:jc w:val="center"/>
              <w:rPr>
                <w:spacing w:val="-1"/>
                <w:sz w:val="21"/>
                <w:szCs w:val="21"/>
                <w:lang w:eastAsia="zh-CN"/>
              </w:rPr>
            </w:pPr>
            <w:r>
              <w:rPr>
                <w:rFonts w:hint="eastAsia"/>
                <w:spacing w:val="-1"/>
                <w:sz w:val="21"/>
                <w:szCs w:val="21"/>
                <w:lang w:eastAsia="zh-CN"/>
              </w:rPr>
              <w:t>15</w:t>
            </w:r>
          </w:p>
        </w:tc>
        <w:tc>
          <w:tcPr>
            <w:tcW w:w="4786" w:type="dxa"/>
            <w:shd w:val="clear" w:color="auto" w:fill="auto"/>
            <w:vAlign w:val="center"/>
          </w:tcPr>
          <w:p>
            <w:pPr>
              <w:pStyle w:val="139"/>
              <w:spacing w:before="53"/>
              <w:ind w:right="99"/>
              <w:jc w:val="left"/>
              <w:rPr>
                <w:b/>
                <w:bCs/>
                <w:sz w:val="21"/>
                <w:szCs w:val="21"/>
                <w:lang w:eastAsia="zh-CN"/>
              </w:rPr>
            </w:pPr>
            <w:r>
              <w:rPr>
                <w:rFonts w:hint="eastAsia"/>
                <w:b/>
                <w:bCs/>
                <w:sz w:val="21"/>
                <w:szCs w:val="21"/>
                <w:lang w:eastAsia="zh-CN"/>
              </w:rPr>
              <w:t>考察内容：</w:t>
            </w:r>
          </w:p>
          <w:p>
            <w:pPr>
              <w:pStyle w:val="139"/>
              <w:spacing w:before="53"/>
              <w:ind w:right="99"/>
              <w:jc w:val="left"/>
              <w:rPr>
                <w:sz w:val="21"/>
                <w:szCs w:val="21"/>
                <w:lang w:eastAsia="zh-CN"/>
              </w:rPr>
            </w:pPr>
            <w:r>
              <w:rPr>
                <w:rFonts w:hint="eastAsia"/>
                <w:sz w:val="21"/>
                <w:szCs w:val="21"/>
                <w:lang w:eastAsia="zh-CN"/>
              </w:rPr>
              <w:t>投标人需针对本项目提供项目完成（服务期满）后的服务承诺内容包括但不限于：</w:t>
            </w:r>
          </w:p>
          <w:p>
            <w:pPr>
              <w:pStyle w:val="139"/>
              <w:spacing w:before="53"/>
              <w:ind w:right="99"/>
              <w:jc w:val="left"/>
              <w:rPr>
                <w:sz w:val="21"/>
                <w:szCs w:val="21"/>
                <w:lang w:eastAsia="zh-CN"/>
              </w:rPr>
            </w:pPr>
            <w:r>
              <w:rPr>
                <w:rFonts w:hint="eastAsia"/>
                <w:sz w:val="21"/>
                <w:szCs w:val="21"/>
                <w:lang w:eastAsia="zh-CN"/>
              </w:rPr>
              <w:t>1.项目完成后服务人员信息与联系方式。</w:t>
            </w:r>
          </w:p>
          <w:p>
            <w:pPr>
              <w:pStyle w:val="139"/>
              <w:spacing w:before="53"/>
              <w:ind w:right="99"/>
              <w:jc w:val="left"/>
              <w:rPr>
                <w:sz w:val="21"/>
                <w:szCs w:val="21"/>
                <w:lang w:eastAsia="zh-CN"/>
              </w:rPr>
            </w:pPr>
            <w:r>
              <w:rPr>
                <w:rFonts w:hint="eastAsia"/>
                <w:sz w:val="21"/>
                <w:szCs w:val="21"/>
                <w:lang w:eastAsia="zh-CN"/>
              </w:rPr>
              <w:t>2.项目完成后服务时限。</w:t>
            </w:r>
          </w:p>
          <w:p>
            <w:pPr>
              <w:pStyle w:val="139"/>
              <w:spacing w:before="53"/>
              <w:ind w:right="99"/>
              <w:jc w:val="left"/>
              <w:rPr>
                <w:sz w:val="21"/>
                <w:szCs w:val="21"/>
                <w:lang w:eastAsia="zh-CN"/>
              </w:rPr>
            </w:pPr>
            <w:r>
              <w:rPr>
                <w:rFonts w:hint="eastAsia"/>
                <w:sz w:val="21"/>
                <w:szCs w:val="21"/>
                <w:lang w:eastAsia="zh-CN"/>
              </w:rPr>
              <w:t>3.项目完成后服务内容与响应时间。</w:t>
            </w:r>
          </w:p>
          <w:p>
            <w:pPr>
              <w:pStyle w:val="139"/>
              <w:spacing w:before="53"/>
              <w:ind w:right="99"/>
              <w:jc w:val="left"/>
              <w:rPr>
                <w:sz w:val="21"/>
                <w:szCs w:val="21"/>
                <w:lang w:eastAsia="zh-CN"/>
              </w:rPr>
            </w:pPr>
            <w:r>
              <w:rPr>
                <w:rFonts w:hint="eastAsia"/>
                <w:sz w:val="21"/>
                <w:szCs w:val="21"/>
                <w:lang w:eastAsia="zh-CN"/>
              </w:rPr>
              <w:t>满足以上任意一项内容得5 分，最高 15分。</w:t>
            </w:r>
          </w:p>
          <w:p>
            <w:pPr>
              <w:pStyle w:val="139"/>
              <w:spacing w:before="53"/>
              <w:ind w:right="99"/>
              <w:jc w:val="left"/>
              <w:rPr>
                <w:b/>
                <w:bCs/>
                <w:sz w:val="21"/>
                <w:szCs w:val="21"/>
                <w:lang w:eastAsia="zh-CN"/>
              </w:rPr>
            </w:pPr>
            <w:r>
              <w:rPr>
                <w:rFonts w:hint="eastAsia"/>
                <w:b/>
                <w:bCs/>
                <w:sz w:val="21"/>
                <w:szCs w:val="21"/>
                <w:lang w:eastAsia="zh-CN"/>
              </w:rPr>
              <w:t>评分标准：</w:t>
            </w:r>
          </w:p>
          <w:p>
            <w:pPr>
              <w:pStyle w:val="139"/>
              <w:spacing w:before="53"/>
              <w:ind w:right="99"/>
              <w:jc w:val="left"/>
              <w:rPr>
                <w:sz w:val="21"/>
                <w:szCs w:val="21"/>
                <w:lang w:eastAsia="zh-CN"/>
              </w:rPr>
            </w:pPr>
            <w:r>
              <w:rPr>
                <w:rFonts w:hint="eastAsia"/>
                <w:sz w:val="21"/>
                <w:szCs w:val="21"/>
                <w:lang w:eastAsia="zh-CN"/>
              </w:rPr>
              <w:t>在此基础上，由评标委员会对实施方案进一步评审：</w:t>
            </w:r>
          </w:p>
          <w:p>
            <w:pPr>
              <w:pStyle w:val="139"/>
              <w:spacing w:before="53"/>
              <w:ind w:right="99"/>
              <w:jc w:val="left"/>
              <w:rPr>
                <w:sz w:val="21"/>
                <w:szCs w:val="21"/>
                <w:lang w:eastAsia="zh-CN"/>
              </w:rPr>
            </w:pPr>
            <w:r>
              <w:rPr>
                <w:rFonts w:hint="eastAsia"/>
                <w:sz w:val="21"/>
                <w:szCs w:val="21"/>
                <w:lang w:eastAsia="zh-CN"/>
              </w:rPr>
              <w:t>（1）服务承诺内容全面。</w:t>
            </w:r>
          </w:p>
          <w:p>
            <w:pPr>
              <w:pStyle w:val="139"/>
              <w:spacing w:before="53"/>
              <w:ind w:right="99"/>
              <w:jc w:val="left"/>
              <w:rPr>
                <w:sz w:val="21"/>
                <w:szCs w:val="21"/>
                <w:lang w:eastAsia="zh-CN"/>
              </w:rPr>
            </w:pPr>
            <w:r>
              <w:rPr>
                <w:rFonts w:hint="eastAsia"/>
                <w:sz w:val="21"/>
                <w:szCs w:val="21"/>
                <w:lang w:eastAsia="zh-CN"/>
              </w:rPr>
              <w:t>（2）服务承诺内容具体。</w:t>
            </w:r>
          </w:p>
          <w:p>
            <w:pPr>
              <w:pStyle w:val="139"/>
              <w:spacing w:before="53"/>
              <w:ind w:right="99"/>
              <w:jc w:val="left"/>
              <w:rPr>
                <w:sz w:val="21"/>
                <w:szCs w:val="21"/>
                <w:lang w:eastAsia="zh-CN"/>
              </w:rPr>
            </w:pPr>
            <w:r>
              <w:rPr>
                <w:rFonts w:hint="eastAsia"/>
                <w:sz w:val="21"/>
                <w:szCs w:val="21"/>
                <w:lang w:eastAsia="zh-CN"/>
              </w:rPr>
              <w:t>（3）服务承诺内容科学合理。</w:t>
            </w:r>
          </w:p>
          <w:p>
            <w:pPr>
              <w:pStyle w:val="139"/>
              <w:spacing w:before="53"/>
              <w:ind w:right="99"/>
              <w:jc w:val="left"/>
              <w:rPr>
                <w:sz w:val="21"/>
                <w:szCs w:val="21"/>
                <w:lang w:eastAsia="zh-CN"/>
              </w:rPr>
            </w:pPr>
            <w:r>
              <w:rPr>
                <w:rFonts w:hint="eastAsia"/>
                <w:sz w:val="21"/>
                <w:szCs w:val="21"/>
                <w:lang w:eastAsia="zh-CN"/>
              </w:rPr>
              <w:t>（4）服务承诺内容针对性强。</w:t>
            </w:r>
          </w:p>
          <w:p>
            <w:pPr>
              <w:pStyle w:val="139"/>
              <w:spacing w:before="53"/>
              <w:ind w:right="99"/>
              <w:jc w:val="left"/>
              <w:rPr>
                <w:sz w:val="21"/>
                <w:szCs w:val="21"/>
                <w:lang w:eastAsia="zh-CN"/>
              </w:rPr>
            </w:pPr>
            <w:r>
              <w:rPr>
                <w:rFonts w:hint="eastAsia"/>
                <w:sz w:val="21"/>
                <w:szCs w:val="21"/>
                <w:lang w:eastAsia="zh-CN"/>
              </w:rPr>
              <w:t>优评分标准：满足以上四项要求的评价为优，得 15分。</w:t>
            </w:r>
          </w:p>
          <w:p>
            <w:pPr>
              <w:pStyle w:val="139"/>
              <w:spacing w:before="53"/>
              <w:ind w:right="99"/>
              <w:jc w:val="left"/>
              <w:rPr>
                <w:sz w:val="21"/>
                <w:szCs w:val="21"/>
                <w:lang w:eastAsia="zh-CN"/>
              </w:rPr>
            </w:pPr>
            <w:r>
              <w:rPr>
                <w:rFonts w:hint="eastAsia"/>
                <w:sz w:val="21"/>
                <w:szCs w:val="21"/>
                <w:lang w:eastAsia="zh-CN"/>
              </w:rPr>
              <w:t>良评分标准：满足以上三项要求的评价为良，得 12分。</w:t>
            </w:r>
          </w:p>
          <w:p>
            <w:pPr>
              <w:pStyle w:val="139"/>
              <w:spacing w:before="53"/>
              <w:ind w:right="99"/>
              <w:jc w:val="left"/>
              <w:rPr>
                <w:sz w:val="21"/>
                <w:szCs w:val="21"/>
                <w:lang w:eastAsia="zh-CN"/>
              </w:rPr>
            </w:pPr>
            <w:r>
              <w:rPr>
                <w:rFonts w:hint="eastAsia"/>
                <w:sz w:val="21"/>
                <w:szCs w:val="21"/>
                <w:lang w:eastAsia="zh-CN"/>
              </w:rPr>
              <w:t>中评分标准：满足以上两项要求的评价为中，得 7分。</w:t>
            </w:r>
          </w:p>
          <w:p>
            <w:pPr>
              <w:pStyle w:val="139"/>
              <w:spacing w:before="53"/>
              <w:ind w:right="99"/>
              <w:jc w:val="left"/>
              <w:rPr>
                <w:sz w:val="21"/>
                <w:szCs w:val="21"/>
                <w:lang w:eastAsia="zh-CN"/>
              </w:rPr>
            </w:pPr>
            <w:r>
              <w:rPr>
                <w:rFonts w:hint="eastAsia"/>
                <w:sz w:val="21"/>
                <w:szCs w:val="21"/>
                <w:lang w:eastAsia="zh-CN"/>
              </w:rPr>
              <w:t>差评分标准：上述情况之外的，评差不得分。</w:t>
            </w:r>
          </w:p>
        </w:tc>
        <w:tc>
          <w:tcPr>
            <w:tcW w:w="1183" w:type="dxa"/>
            <w:shd w:val="clear" w:color="auto" w:fill="auto"/>
            <w:vAlign w:val="center"/>
          </w:tcPr>
          <w:p>
            <w:pPr>
              <w:pStyle w:val="139"/>
              <w:spacing w:before="65"/>
              <w:rPr>
                <w:spacing w:val="7"/>
                <w:sz w:val="21"/>
                <w:szCs w:val="21"/>
                <w:lang w:eastAsia="zh-CN"/>
              </w:rPr>
            </w:pPr>
            <w:r>
              <w:rPr>
                <w:rFonts w:hint="eastAsia"/>
                <w:spacing w:val="7"/>
                <w:sz w:val="21"/>
                <w:szCs w:val="21"/>
                <w:lang w:eastAsia="zh-CN"/>
              </w:rPr>
              <w:t>专家打分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jc w:val="center"/>
        </w:trPr>
        <w:tc>
          <w:tcPr>
            <w:tcW w:w="8177" w:type="dxa"/>
            <w:gridSpan w:val="4"/>
            <w:shd w:val="clear" w:color="auto" w:fill="auto"/>
            <w:vAlign w:val="center"/>
          </w:tcPr>
          <w:p>
            <w:pPr>
              <w:pStyle w:val="139"/>
              <w:spacing w:before="53"/>
              <w:ind w:left="109" w:right="99" w:firstLine="419"/>
              <w:jc w:val="center"/>
              <w:rPr>
                <w:spacing w:val="6"/>
                <w:sz w:val="21"/>
                <w:szCs w:val="21"/>
              </w:rPr>
            </w:pPr>
            <w:r>
              <w:rPr>
                <w:rFonts w:hint="eastAsia"/>
                <w:b/>
                <w:bCs/>
                <w:spacing w:val="6"/>
                <w:sz w:val="21"/>
                <w:szCs w:val="21"/>
                <w:lang w:eastAsia="zh-CN"/>
              </w:rPr>
              <w:t>三</w:t>
            </w:r>
            <w:r>
              <w:rPr>
                <w:rFonts w:hint="eastAsia"/>
                <w:b/>
                <w:bCs/>
                <w:spacing w:val="6"/>
                <w:sz w:val="21"/>
                <w:szCs w:val="21"/>
              </w:rPr>
              <w:t>、商务部分</w:t>
            </w:r>
          </w:p>
        </w:tc>
        <w:tc>
          <w:tcPr>
            <w:tcW w:w="1183" w:type="dxa"/>
            <w:shd w:val="clear" w:color="auto" w:fill="auto"/>
            <w:vAlign w:val="center"/>
          </w:tcPr>
          <w:p>
            <w:pPr>
              <w:pStyle w:val="139"/>
              <w:spacing w:before="65"/>
              <w:ind w:firstLine="630" w:firstLineChars="300"/>
              <w:jc w:val="center"/>
              <w:rPr>
                <w:rFonts w:hint="default"/>
                <w:spacing w:val="7"/>
                <w:sz w:val="21"/>
                <w:szCs w:val="21"/>
                <w:lang w:val="en-US" w:eastAsia="zh-CN"/>
              </w:rPr>
            </w:pPr>
            <w:r>
              <w:rPr>
                <w:rFonts w:hint="eastAsia"/>
                <w:sz w:val="21"/>
                <w:szCs w:val="21"/>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747" w:type="dxa"/>
            <w:shd w:val="clear" w:color="auto" w:fill="auto"/>
            <w:vAlign w:val="center"/>
          </w:tcPr>
          <w:p>
            <w:pPr>
              <w:pStyle w:val="139"/>
              <w:spacing w:before="53"/>
              <w:ind w:left="109" w:right="99" w:firstLine="419"/>
              <w:jc w:val="center"/>
              <w:rPr>
                <w:spacing w:val="14"/>
                <w:sz w:val="21"/>
                <w:szCs w:val="21"/>
              </w:rPr>
            </w:pPr>
          </w:p>
          <w:p>
            <w:pPr>
              <w:pStyle w:val="139"/>
              <w:spacing w:before="53"/>
              <w:ind w:right="99" w:firstLine="238" w:firstLineChars="100"/>
              <w:jc w:val="center"/>
              <w:rPr>
                <w:spacing w:val="14"/>
                <w:sz w:val="21"/>
                <w:szCs w:val="21"/>
                <w:lang w:eastAsia="zh-CN"/>
              </w:rPr>
            </w:pPr>
            <w:r>
              <w:rPr>
                <w:rFonts w:hint="eastAsia"/>
                <w:spacing w:val="14"/>
                <w:sz w:val="21"/>
                <w:szCs w:val="21"/>
                <w:lang w:eastAsia="zh-CN"/>
              </w:rPr>
              <w:t>1</w:t>
            </w:r>
          </w:p>
        </w:tc>
        <w:tc>
          <w:tcPr>
            <w:tcW w:w="1888" w:type="dxa"/>
            <w:shd w:val="clear" w:color="auto" w:fill="auto"/>
            <w:vAlign w:val="center"/>
          </w:tcPr>
          <w:p>
            <w:pPr>
              <w:pStyle w:val="139"/>
              <w:spacing w:before="53"/>
              <w:ind w:right="99"/>
              <w:rPr>
                <w:spacing w:val="14"/>
                <w:sz w:val="21"/>
                <w:szCs w:val="21"/>
              </w:rPr>
            </w:pPr>
          </w:p>
          <w:p>
            <w:pPr>
              <w:pStyle w:val="139"/>
              <w:spacing w:before="53"/>
              <w:ind w:right="99"/>
              <w:rPr>
                <w:spacing w:val="14"/>
                <w:sz w:val="21"/>
                <w:szCs w:val="21"/>
              </w:rPr>
            </w:pPr>
            <w:r>
              <w:rPr>
                <w:rFonts w:hint="eastAsia"/>
                <w:spacing w:val="14"/>
                <w:sz w:val="21"/>
                <w:szCs w:val="21"/>
              </w:rPr>
              <w:t>项目负责人情况</w:t>
            </w:r>
          </w:p>
        </w:tc>
        <w:tc>
          <w:tcPr>
            <w:tcW w:w="756" w:type="dxa"/>
            <w:shd w:val="clear" w:color="auto" w:fill="auto"/>
            <w:vAlign w:val="center"/>
          </w:tcPr>
          <w:p>
            <w:pPr>
              <w:pStyle w:val="139"/>
              <w:spacing w:before="53"/>
              <w:ind w:left="109" w:right="99" w:firstLine="419"/>
              <w:jc w:val="center"/>
              <w:rPr>
                <w:spacing w:val="14"/>
                <w:sz w:val="21"/>
                <w:szCs w:val="21"/>
              </w:rPr>
            </w:pPr>
          </w:p>
          <w:p>
            <w:pPr>
              <w:pStyle w:val="139"/>
              <w:spacing w:before="53"/>
              <w:ind w:right="99" w:firstLine="238" w:firstLineChars="100"/>
              <w:jc w:val="center"/>
              <w:rPr>
                <w:spacing w:val="14"/>
                <w:sz w:val="21"/>
                <w:szCs w:val="21"/>
                <w:lang w:eastAsia="zh-CN"/>
              </w:rPr>
            </w:pPr>
            <w:r>
              <w:rPr>
                <w:rFonts w:hint="eastAsia"/>
                <w:spacing w:val="14"/>
                <w:sz w:val="21"/>
                <w:szCs w:val="21"/>
                <w:lang w:eastAsia="zh-CN"/>
              </w:rPr>
              <w:t>10</w:t>
            </w:r>
          </w:p>
        </w:tc>
        <w:tc>
          <w:tcPr>
            <w:tcW w:w="4786" w:type="dxa"/>
            <w:shd w:val="clear" w:color="auto" w:fill="auto"/>
            <w:vAlign w:val="center"/>
          </w:tcPr>
          <w:p>
            <w:pPr>
              <w:pStyle w:val="139"/>
              <w:spacing w:before="53"/>
              <w:ind w:right="99"/>
              <w:jc w:val="left"/>
              <w:rPr>
                <w:b/>
                <w:bCs/>
                <w:spacing w:val="14"/>
                <w:sz w:val="21"/>
                <w:szCs w:val="21"/>
                <w:lang w:eastAsia="zh-CN"/>
              </w:rPr>
            </w:pPr>
            <w:r>
              <w:rPr>
                <w:rFonts w:hint="eastAsia"/>
                <w:spacing w:val="14"/>
                <w:sz w:val="21"/>
                <w:szCs w:val="21"/>
                <w:lang w:eastAsia="zh-CN"/>
              </w:rPr>
              <w:t>1、项目负责人必须为投标人自有员工。</w:t>
            </w:r>
          </w:p>
          <w:p>
            <w:pPr>
              <w:pStyle w:val="9"/>
              <w:spacing w:after="60"/>
              <w:ind w:firstLine="0"/>
              <w:rPr>
                <w:rFonts w:ascii="宋体" w:hAnsi="宋体" w:cs="宋体"/>
                <w:szCs w:val="21"/>
              </w:rPr>
            </w:pPr>
            <w:r>
              <w:rPr>
                <w:rFonts w:hint="eastAsia" w:ascii="宋体" w:hAnsi="宋体" w:cs="宋体"/>
                <w:szCs w:val="21"/>
              </w:rPr>
              <w:t>2、</w:t>
            </w:r>
            <w:r>
              <w:rPr>
                <w:rFonts w:hint="eastAsia" w:ascii="宋体" w:hAnsi="宋体" w:cs="宋体"/>
                <w:spacing w:val="14"/>
                <w:szCs w:val="21"/>
              </w:rPr>
              <w:t>项目人需提供投标截止日前投标人缴纳的近3个月社保证明（由于社保部门原因最近一个月的社保证明无法提供的可往前顺延一个月）的社保证明作为自有员工的证明依据；</w:t>
            </w:r>
          </w:p>
          <w:p>
            <w:pPr>
              <w:pStyle w:val="139"/>
              <w:spacing w:before="53"/>
              <w:ind w:right="99"/>
              <w:jc w:val="left"/>
              <w:rPr>
                <w:spacing w:val="14"/>
                <w:sz w:val="21"/>
                <w:szCs w:val="21"/>
                <w:lang w:eastAsia="zh-CN"/>
              </w:rPr>
            </w:pPr>
            <w:r>
              <w:rPr>
                <w:rFonts w:hint="eastAsia"/>
                <w:spacing w:val="14"/>
                <w:sz w:val="21"/>
                <w:szCs w:val="21"/>
                <w:lang w:eastAsia="zh-CN"/>
              </w:rPr>
              <w:t>3、负责人本人的学历证书扫描件；</w:t>
            </w:r>
          </w:p>
          <w:p>
            <w:pPr>
              <w:pStyle w:val="139"/>
              <w:spacing w:before="53"/>
              <w:ind w:right="99"/>
              <w:jc w:val="left"/>
              <w:rPr>
                <w:spacing w:val="14"/>
                <w:sz w:val="21"/>
                <w:szCs w:val="21"/>
                <w:lang w:eastAsia="zh-CN"/>
              </w:rPr>
            </w:pPr>
            <w:r>
              <w:rPr>
                <w:rFonts w:hint="eastAsia"/>
                <w:spacing w:val="14"/>
                <w:sz w:val="21"/>
                <w:szCs w:val="21"/>
                <w:lang w:eastAsia="zh-CN"/>
              </w:rPr>
              <w:t>以上资料均需加盖公章，</w:t>
            </w:r>
            <w:r>
              <w:rPr>
                <w:rFonts w:hint="eastAsia"/>
                <w:spacing w:val="14"/>
                <w:sz w:val="21"/>
                <w:szCs w:val="21"/>
                <w:lang w:val="en-US" w:eastAsia="zh-CN"/>
              </w:rPr>
              <w:t>缺任意一项</w:t>
            </w:r>
            <w:r>
              <w:rPr>
                <w:rFonts w:hint="eastAsia"/>
                <w:spacing w:val="14"/>
                <w:sz w:val="21"/>
                <w:szCs w:val="21"/>
                <w:lang w:eastAsia="zh-CN"/>
              </w:rPr>
              <w:t>或不清晰导致专家无法判断的此项不得分。</w:t>
            </w:r>
          </w:p>
        </w:tc>
        <w:tc>
          <w:tcPr>
            <w:tcW w:w="1183" w:type="dxa"/>
            <w:shd w:val="clear" w:color="auto" w:fill="auto"/>
            <w:vAlign w:val="center"/>
          </w:tcPr>
          <w:p>
            <w:pPr>
              <w:pStyle w:val="139"/>
              <w:spacing w:before="53"/>
              <w:ind w:right="99"/>
              <w:rPr>
                <w:spacing w:val="14"/>
                <w:sz w:val="21"/>
                <w:szCs w:val="21"/>
                <w:lang w:eastAsia="zh-CN"/>
              </w:rPr>
            </w:pPr>
          </w:p>
          <w:p>
            <w:pPr>
              <w:pStyle w:val="139"/>
              <w:spacing w:before="53"/>
              <w:ind w:right="99"/>
              <w:jc w:val="center"/>
              <w:rPr>
                <w:spacing w:val="14"/>
                <w:sz w:val="21"/>
                <w:szCs w:val="21"/>
              </w:rPr>
            </w:pPr>
            <w:r>
              <w:rPr>
                <w:rFonts w:hint="eastAsia"/>
                <w:spacing w:val="14"/>
                <w:sz w:val="21"/>
                <w:szCs w:val="21"/>
              </w:rPr>
              <w:t>专家打分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1" w:hRule="atLeast"/>
          <w:jc w:val="center"/>
        </w:trPr>
        <w:tc>
          <w:tcPr>
            <w:tcW w:w="747" w:type="dxa"/>
            <w:shd w:val="clear" w:color="auto" w:fill="auto"/>
            <w:vAlign w:val="center"/>
          </w:tcPr>
          <w:p>
            <w:pPr>
              <w:pStyle w:val="139"/>
              <w:spacing w:before="53"/>
              <w:ind w:left="109" w:right="99" w:firstLine="419"/>
              <w:jc w:val="center"/>
              <w:rPr>
                <w:spacing w:val="14"/>
                <w:sz w:val="21"/>
                <w:szCs w:val="21"/>
              </w:rPr>
            </w:pPr>
          </w:p>
          <w:p>
            <w:pPr>
              <w:pStyle w:val="139"/>
              <w:spacing w:before="53"/>
              <w:ind w:left="109" w:right="99" w:firstLine="419"/>
              <w:jc w:val="center"/>
              <w:rPr>
                <w:spacing w:val="14"/>
                <w:sz w:val="21"/>
                <w:szCs w:val="21"/>
              </w:rPr>
            </w:pPr>
          </w:p>
          <w:p>
            <w:pPr>
              <w:pStyle w:val="139"/>
              <w:spacing w:before="53"/>
              <w:ind w:right="99" w:firstLine="238" w:firstLineChars="100"/>
              <w:jc w:val="center"/>
              <w:rPr>
                <w:spacing w:val="14"/>
                <w:sz w:val="21"/>
                <w:szCs w:val="21"/>
                <w:lang w:eastAsia="zh-CN"/>
              </w:rPr>
            </w:pPr>
            <w:r>
              <w:rPr>
                <w:rFonts w:hint="eastAsia"/>
                <w:spacing w:val="14"/>
                <w:sz w:val="21"/>
                <w:szCs w:val="21"/>
                <w:lang w:eastAsia="zh-CN"/>
              </w:rPr>
              <w:t>2</w:t>
            </w:r>
          </w:p>
        </w:tc>
        <w:tc>
          <w:tcPr>
            <w:tcW w:w="1888" w:type="dxa"/>
            <w:shd w:val="clear" w:color="auto" w:fill="auto"/>
            <w:vAlign w:val="center"/>
          </w:tcPr>
          <w:p>
            <w:pPr>
              <w:pStyle w:val="139"/>
              <w:spacing w:before="53"/>
              <w:ind w:left="109" w:right="99" w:firstLine="419"/>
              <w:jc w:val="center"/>
              <w:rPr>
                <w:spacing w:val="14"/>
                <w:sz w:val="21"/>
                <w:szCs w:val="21"/>
              </w:rPr>
            </w:pPr>
          </w:p>
          <w:p>
            <w:pPr>
              <w:pStyle w:val="139"/>
              <w:spacing w:before="53"/>
              <w:ind w:left="109" w:right="99" w:firstLine="419"/>
              <w:jc w:val="center"/>
              <w:rPr>
                <w:spacing w:val="14"/>
                <w:sz w:val="21"/>
                <w:szCs w:val="21"/>
              </w:rPr>
            </w:pPr>
          </w:p>
          <w:p>
            <w:pPr>
              <w:pStyle w:val="139"/>
              <w:spacing w:before="53"/>
              <w:ind w:left="109" w:right="99" w:firstLine="419"/>
              <w:jc w:val="center"/>
              <w:rPr>
                <w:spacing w:val="14"/>
                <w:sz w:val="21"/>
                <w:szCs w:val="21"/>
              </w:rPr>
            </w:pPr>
            <w:r>
              <w:rPr>
                <w:rFonts w:hint="eastAsia"/>
                <w:spacing w:val="14"/>
                <w:sz w:val="21"/>
                <w:szCs w:val="21"/>
              </w:rPr>
              <w:t>诚信评价</w:t>
            </w:r>
          </w:p>
        </w:tc>
        <w:tc>
          <w:tcPr>
            <w:tcW w:w="756" w:type="dxa"/>
            <w:shd w:val="clear" w:color="auto" w:fill="auto"/>
            <w:vAlign w:val="center"/>
          </w:tcPr>
          <w:p>
            <w:pPr>
              <w:pStyle w:val="139"/>
              <w:spacing w:before="53"/>
              <w:ind w:left="109" w:right="99" w:firstLine="419"/>
              <w:jc w:val="center"/>
              <w:rPr>
                <w:spacing w:val="14"/>
                <w:sz w:val="21"/>
                <w:szCs w:val="21"/>
              </w:rPr>
            </w:pPr>
          </w:p>
          <w:p>
            <w:pPr>
              <w:pStyle w:val="139"/>
              <w:spacing w:before="53"/>
              <w:ind w:left="109" w:right="99" w:firstLine="419"/>
              <w:jc w:val="center"/>
              <w:rPr>
                <w:spacing w:val="14"/>
                <w:sz w:val="21"/>
                <w:szCs w:val="21"/>
              </w:rPr>
            </w:pPr>
          </w:p>
          <w:p>
            <w:pPr>
              <w:pStyle w:val="139"/>
              <w:spacing w:before="53"/>
              <w:ind w:right="99" w:firstLine="238" w:firstLineChars="100"/>
              <w:jc w:val="center"/>
              <w:rPr>
                <w:spacing w:val="14"/>
                <w:sz w:val="21"/>
                <w:szCs w:val="21"/>
                <w:lang w:eastAsia="zh-CN"/>
              </w:rPr>
            </w:pPr>
            <w:r>
              <w:rPr>
                <w:rFonts w:hint="eastAsia"/>
                <w:spacing w:val="14"/>
                <w:sz w:val="21"/>
                <w:szCs w:val="21"/>
                <w:lang w:val="en-US" w:eastAsia="zh-CN"/>
              </w:rPr>
              <w:t>5</w:t>
            </w:r>
          </w:p>
        </w:tc>
        <w:tc>
          <w:tcPr>
            <w:tcW w:w="4786" w:type="dxa"/>
            <w:shd w:val="clear" w:color="auto" w:fill="auto"/>
            <w:vAlign w:val="center"/>
          </w:tcPr>
          <w:p>
            <w:pPr>
              <w:pStyle w:val="139"/>
              <w:spacing w:before="53"/>
              <w:ind w:right="99"/>
              <w:jc w:val="left"/>
              <w:rPr>
                <w:spacing w:val="14"/>
                <w:sz w:val="21"/>
                <w:szCs w:val="21"/>
                <w:lang w:eastAsia="zh-CN"/>
              </w:rPr>
            </w:pPr>
            <w:r>
              <w:rPr>
                <w:rFonts w:hint="eastAsia"/>
                <w:spacing w:val="14"/>
                <w:sz w:val="21"/>
                <w:szCs w:val="21"/>
                <w:lang w:eastAsia="zh-CN"/>
              </w:rPr>
              <w:t>根据《深圳市财政委员会关于印发〈深圳 市政府采购供应商诚信管理暂行办法操作细 则〉的通知》（深财购[2017]42 号）的要求，投标人在参与政府采购活动中存在诚信相关问题 且在主管部门相关处理措施实施期限内的，本项不得分，否则得满分。</w:t>
            </w:r>
          </w:p>
          <w:p>
            <w:pPr>
              <w:pStyle w:val="139"/>
              <w:spacing w:before="53"/>
              <w:ind w:right="99"/>
              <w:jc w:val="left"/>
              <w:rPr>
                <w:spacing w:val="14"/>
                <w:sz w:val="21"/>
                <w:szCs w:val="21"/>
                <w:lang w:eastAsia="zh-CN"/>
              </w:rPr>
            </w:pPr>
            <w:r>
              <w:rPr>
                <w:rFonts w:hint="eastAsia"/>
                <w:spacing w:val="14"/>
                <w:sz w:val="21"/>
                <w:szCs w:val="21"/>
                <w:lang w:eastAsia="zh-CN"/>
              </w:rPr>
              <w:t>须提供《诚信承诺函》，按招标文件格式要 求提供，不提供不得分。如被认定提供的陈述 与事实不符的，依法追究其责任。</w:t>
            </w:r>
          </w:p>
        </w:tc>
        <w:tc>
          <w:tcPr>
            <w:tcW w:w="1183" w:type="dxa"/>
            <w:shd w:val="clear" w:color="auto" w:fill="auto"/>
            <w:vAlign w:val="center"/>
          </w:tcPr>
          <w:p>
            <w:pPr>
              <w:pStyle w:val="139"/>
              <w:spacing w:before="53"/>
              <w:ind w:left="109" w:right="99" w:firstLine="419"/>
              <w:jc w:val="center"/>
              <w:rPr>
                <w:spacing w:val="14"/>
                <w:sz w:val="21"/>
                <w:szCs w:val="21"/>
                <w:lang w:eastAsia="zh-CN"/>
              </w:rPr>
            </w:pPr>
          </w:p>
          <w:p>
            <w:pPr>
              <w:pStyle w:val="139"/>
              <w:spacing w:before="53"/>
              <w:ind w:left="109" w:right="99" w:firstLine="419"/>
              <w:jc w:val="center"/>
              <w:rPr>
                <w:spacing w:val="14"/>
                <w:sz w:val="21"/>
                <w:szCs w:val="21"/>
                <w:lang w:eastAsia="zh-CN"/>
              </w:rPr>
            </w:pPr>
          </w:p>
          <w:p>
            <w:pPr>
              <w:pStyle w:val="139"/>
              <w:spacing w:before="53"/>
              <w:ind w:right="99"/>
              <w:jc w:val="center"/>
              <w:rPr>
                <w:spacing w:val="14"/>
                <w:sz w:val="21"/>
                <w:szCs w:val="21"/>
              </w:rPr>
            </w:pPr>
            <w:r>
              <w:rPr>
                <w:rFonts w:hint="eastAsia"/>
                <w:spacing w:val="14"/>
                <w:sz w:val="21"/>
                <w:szCs w:val="21"/>
              </w:rPr>
              <w:t>专家打分</w:t>
            </w:r>
          </w:p>
        </w:tc>
      </w:tr>
    </w:tbl>
    <w:p/>
    <w:p>
      <w:pPr>
        <w:spacing w:line="360" w:lineRule="auto"/>
        <w:rPr>
          <w:rFonts w:ascii="宋体" w:hAnsi="宋体" w:cs="宋体"/>
          <w:sz w:val="22"/>
        </w:rPr>
      </w:pPr>
      <w:r>
        <w:rPr>
          <w:rFonts w:hint="eastAsia" w:ascii="宋体" w:hAnsi="宋体" w:cs="宋体"/>
          <w:sz w:val="22"/>
        </w:rPr>
        <w:t>评标方法：综合评分法。按照招标文件中规定的各项因素进行量化打分，以评标总得分的平均分最高的投标人</w:t>
      </w:r>
      <w:r>
        <w:rPr>
          <w:rFonts w:hint="eastAsia" w:ascii="宋体" w:hAnsi="宋体" w:cs="宋体"/>
          <w:bCs/>
          <w:sz w:val="22"/>
        </w:rPr>
        <w:t>为中标候选供应商，采购人根据评标委员会评审结果确定中标候选供应商为中标人。</w:t>
      </w:r>
    </w:p>
    <w:bookmarkEnd w:id="0"/>
    <w:bookmarkEnd w:id="1"/>
    <w:bookmarkEnd w:id="2"/>
    <w:p>
      <w:pPr>
        <w:spacing w:line="360" w:lineRule="auto"/>
        <w:rPr>
          <w:rFonts w:hint="eastAsia" w:ascii="宋体" w:hAnsi="宋体" w:cs="宋体"/>
          <w:sz w:val="22"/>
        </w:rPr>
      </w:pPr>
      <w:r>
        <w:rPr>
          <w:rFonts w:hint="eastAsia" w:ascii="宋体" w:hAnsi="宋体" w:cs="宋体"/>
          <w:sz w:val="22"/>
        </w:rPr>
        <w:t>综合评分法中的价格分统一采用低价优先法计算,即满足采购文件要求且投标价格最低的投标报价为评标基准价,其价格分为满分。其他投标人的价格分统一按照下列公式计算：投标报价得分=(评标基准价/投标报价)×权重</w:t>
      </w:r>
    </w:p>
    <w:p>
      <w:pPr>
        <w:pStyle w:val="2"/>
      </w:pPr>
    </w:p>
    <w:p>
      <w:pPr>
        <w:rPr>
          <w:sz w:val="22"/>
        </w:rPr>
      </w:pPr>
      <w:r>
        <w:rPr>
          <w:sz w:val="22"/>
        </w:rPr>
        <w:t>备注：</w:t>
      </w:r>
    </w:p>
    <w:p>
      <w:pPr>
        <w:rPr>
          <w:sz w:val="22"/>
        </w:rPr>
      </w:pPr>
      <w:r>
        <w:rPr>
          <w:sz w:val="22"/>
        </w:rPr>
        <w:t>1.价格、技术、商务部分累加分为100分。</w:t>
      </w:r>
    </w:p>
    <w:p>
      <w:pPr>
        <w:rPr>
          <w:sz w:val="22"/>
        </w:rPr>
      </w:pPr>
      <w:r>
        <w:rPr>
          <w:sz w:val="22"/>
        </w:rPr>
        <w:t>2.各投标人得分精确到小数点后两位。</w:t>
      </w:r>
    </w:p>
    <w:p>
      <w:pPr>
        <w:spacing w:line="360" w:lineRule="exact"/>
        <w:rPr>
          <w:sz w:val="24"/>
        </w:rPr>
      </w:pPr>
      <w:r>
        <w:br w:type="page"/>
      </w:r>
      <w:bookmarkStart w:id="3" w:name="bt商务标投标文件格式"/>
      <w:bookmarkEnd w:id="3"/>
      <w:bookmarkStart w:id="4" w:name="bt投标函"/>
      <w:bookmarkEnd w:id="4"/>
      <w:bookmarkStart w:id="5" w:name="bt投标文件签署授权委托书"/>
      <w:bookmarkEnd w:id="5"/>
      <w:bookmarkStart w:id="6" w:name="bt投标人须知"/>
      <w:bookmarkEnd w:id="6"/>
      <w:bookmarkStart w:id="7" w:name="bt合同条款"/>
      <w:bookmarkEnd w:id="7"/>
      <w:bookmarkStart w:id="8" w:name="bt技术标投标文件格式"/>
      <w:bookmarkEnd w:id="8"/>
      <w:bookmarkStart w:id="9" w:name="bt合同条款及格式"/>
      <w:bookmarkEnd w:id="9"/>
      <w:bookmarkStart w:id="10" w:name="bt其他资料2"/>
      <w:bookmarkEnd w:id="10"/>
      <w:bookmarkStart w:id="11" w:name="bt开标一览表"/>
      <w:bookmarkEnd w:id="11"/>
      <w:bookmarkStart w:id="12" w:name="bt其他资料由投标人自定"/>
      <w:bookmarkEnd w:id="12"/>
      <w:bookmarkStart w:id="13" w:name="bt合同格式"/>
      <w:bookmarkEnd w:id="13"/>
      <w:bookmarkStart w:id="14" w:name="bt说明"/>
      <w:bookmarkEnd w:id="14"/>
      <w:bookmarkStart w:id="15" w:name="bt本工程承诺书"/>
      <w:bookmarkEnd w:id="15"/>
      <w:bookmarkStart w:id="16" w:name="bt项目管理班子配备情况"/>
      <w:bookmarkEnd w:id="16"/>
      <w:bookmarkStart w:id="17" w:name="bt投标人情况介绍"/>
      <w:bookmarkEnd w:id="17"/>
      <w:bookmarkStart w:id="18" w:name="合同格式"/>
      <w:bookmarkEnd w:id="18"/>
      <w:bookmarkStart w:id="19" w:name="bt投标报价汇总表"/>
      <w:bookmarkEnd w:id="19"/>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pStyle w:val="4"/>
        <w:rPr>
          <w:rFonts w:ascii="宋体" w:hAnsi="宋体" w:cs="宋体"/>
          <w:bCs w:val="0"/>
          <w:sz w:val="52"/>
          <w:szCs w:val="52"/>
        </w:rPr>
      </w:pPr>
      <w:r>
        <w:rPr>
          <w:rFonts w:hint="eastAsia" w:ascii="宋体" w:hAnsi="宋体" w:cs="宋体"/>
          <w:bCs w:val="0"/>
          <w:sz w:val="52"/>
          <w:szCs w:val="52"/>
        </w:rPr>
        <w:t>第一册  专用条款</w:t>
      </w:r>
    </w:p>
    <w:p/>
    <w:p>
      <w:r>
        <w:br w:type="page"/>
      </w:r>
    </w:p>
    <w:p>
      <w:pPr>
        <w:pStyle w:val="5"/>
        <w:rPr>
          <w:bCs/>
          <w:sz w:val="40"/>
          <w:szCs w:val="40"/>
        </w:rPr>
      </w:pPr>
      <w:r>
        <w:rPr>
          <w:rFonts w:hint="eastAsia"/>
          <w:bCs/>
          <w:sz w:val="40"/>
          <w:szCs w:val="40"/>
        </w:rPr>
        <w:t>第一章  招标公告</w:t>
      </w:r>
    </w:p>
    <w:p>
      <w:pPr>
        <w:spacing w:line="360" w:lineRule="exact"/>
        <w:ind w:firstLine="440" w:firstLineChars="200"/>
        <w:jc w:val="left"/>
        <w:rPr>
          <w:rFonts w:ascii="宋体" w:hAnsi="宋体" w:cs="宋体"/>
          <w:sz w:val="22"/>
        </w:rPr>
      </w:pPr>
      <w:r>
        <w:rPr>
          <w:rFonts w:hint="eastAsia" w:ascii="宋体" w:hAnsi="宋体" w:cs="宋体"/>
          <w:sz w:val="22"/>
        </w:rPr>
        <w:t>深圳市第二人民医院就深圳市第二人民医院脊柱健康科普资料宣传折页项目进行招标</w:t>
      </w:r>
      <w:r>
        <w:rPr>
          <w:rFonts w:hint="eastAsia" w:ascii="宋体" w:hAnsi="宋体" w:cs="宋体"/>
          <w:sz w:val="22"/>
          <w:lang w:eastAsia="zh-CN"/>
        </w:rPr>
        <w:t>。</w:t>
      </w:r>
    </w:p>
    <w:p>
      <w:pPr>
        <w:spacing w:line="360" w:lineRule="exact"/>
        <w:ind w:firstLine="442" w:firstLineChars="200"/>
        <w:jc w:val="left"/>
        <w:rPr>
          <w:rFonts w:ascii="宋体" w:hAnsi="宋体" w:cs="宋体"/>
          <w:bCs/>
          <w:sz w:val="22"/>
          <w:u w:val="single"/>
        </w:rPr>
      </w:pPr>
      <w:r>
        <w:rPr>
          <w:rFonts w:hint="eastAsia" w:ascii="宋体" w:hAnsi="宋体" w:cs="宋体"/>
          <w:b/>
          <w:sz w:val="22"/>
        </w:rPr>
        <w:t>一、项目名称：</w:t>
      </w:r>
      <w:r>
        <w:rPr>
          <w:rFonts w:hint="eastAsia" w:ascii="宋体" w:hAnsi="宋体" w:cs="宋体"/>
          <w:sz w:val="22"/>
        </w:rPr>
        <w:t xml:space="preserve">深圳市第二人民医院脊柱健康科普资料宣传折页项目 </w:t>
      </w:r>
    </w:p>
    <w:p>
      <w:pPr>
        <w:spacing w:line="360" w:lineRule="exact"/>
        <w:ind w:firstLine="442" w:firstLineChars="200"/>
        <w:jc w:val="left"/>
        <w:rPr>
          <w:rFonts w:ascii="宋体" w:hAnsi="宋体" w:cs="宋体"/>
          <w:b/>
          <w:bCs/>
          <w:kern w:val="0"/>
          <w:sz w:val="22"/>
        </w:rPr>
      </w:pPr>
      <w:r>
        <w:rPr>
          <w:rFonts w:hint="eastAsia" w:ascii="宋体" w:hAnsi="宋体" w:cs="宋体"/>
          <w:b/>
          <w:bCs/>
          <w:kern w:val="0"/>
          <w:sz w:val="22"/>
        </w:rPr>
        <w:t>二、项目内容及需求：</w:t>
      </w:r>
    </w:p>
    <w:p>
      <w:pPr>
        <w:spacing w:line="360" w:lineRule="exact"/>
        <w:ind w:firstLine="440" w:firstLineChars="200"/>
        <w:jc w:val="left"/>
        <w:rPr>
          <w:rFonts w:ascii="宋体" w:hAnsi="宋体" w:cs="宋体"/>
          <w:kern w:val="0"/>
          <w:sz w:val="22"/>
        </w:rPr>
      </w:pPr>
      <w:r>
        <w:rPr>
          <w:rFonts w:hint="eastAsia" w:ascii="宋体" w:hAnsi="宋体" w:cs="宋体"/>
          <w:kern w:val="0"/>
          <w:sz w:val="22"/>
        </w:rPr>
        <w:t>1.项目内容：</w:t>
      </w:r>
      <w:r>
        <w:rPr>
          <w:rFonts w:hint="eastAsia" w:ascii="宋体" w:hAnsi="宋体" w:cs="宋体"/>
          <w:sz w:val="22"/>
        </w:rPr>
        <w:t>深圳市第二人民医院医学创新技术转化中心会议系统采购项目1项</w:t>
      </w:r>
      <w:r>
        <w:rPr>
          <w:rFonts w:hint="eastAsia" w:ascii="宋体" w:hAnsi="宋体" w:cs="宋体"/>
          <w:kern w:val="0"/>
          <w:sz w:val="22"/>
        </w:rPr>
        <w:t>。</w:t>
      </w:r>
    </w:p>
    <w:p>
      <w:pPr>
        <w:spacing w:line="360" w:lineRule="exact"/>
        <w:ind w:firstLine="440" w:firstLineChars="200"/>
        <w:jc w:val="left"/>
        <w:rPr>
          <w:rFonts w:ascii="宋体" w:hAnsi="宋体" w:cs="宋体"/>
          <w:kern w:val="0"/>
          <w:sz w:val="22"/>
        </w:rPr>
      </w:pPr>
      <w:r>
        <w:rPr>
          <w:rFonts w:hint="eastAsia" w:ascii="宋体" w:hAnsi="宋体" w:cs="宋体"/>
          <w:kern w:val="0"/>
          <w:sz w:val="22"/>
        </w:rPr>
        <w:t>2.项目预算金额：人民币304600.00元。</w:t>
      </w:r>
    </w:p>
    <w:p>
      <w:pPr>
        <w:spacing w:line="360" w:lineRule="exact"/>
        <w:ind w:firstLine="440" w:firstLineChars="200"/>
        <w:jc w:val="left"/>
        <w:rPr>
          <w:rFonts w:ascii="宋体" w:hAnsi="宋体" w:cs="宋体"/>
          <w:kern w:val="0"/>
          <w:sz w:val="22"/>
        </w:rPr>
      </w:pPr>
      <w:r>
        <w:rPr>
          <w:rFonts w:hint="eastAsia" w:ascii="宋体" w:hAnsi="宋体" w:cs="宋体"/>
          <w:kern w:val="0"/>
          <w:sz w:val="22"/>
        </w:rPr>
        <w:t>3.简要技术要求或招标项目的性质：详见招标文件项目需求。</w:t>
      </w:r>
    </w:p>
    <w:p>
      <w:pPr>
        <w:spacing w:line="360" w:lineRule="exact"/>
        <w:ind w:firstLine="442" w:firstLineChars="200"/>
        <w:jc w:val="left"/>
        <w:rPr>
          <w:rFonts w:ascii="宋体" w:hAnsi="宋体" w:cs="宋体"/>
          <w:b/>
          <w:kern w:val="0"/>
          <w:sz w:val="22"/>
        </w:rPr>
      </w:pPr>
      <w:r>
        <w:rPr>
          <w:rFonts w:hint="eastAsia" w:ascii="宋体" w:hAnsi="宋体" w:cs="宋体"/>
          <w:b/>
          <w:kern w:val="0"/>
          <w:sz w:val="22"/>
        </w:rPr>
        <w:t>三、供应商资质要求：</w:t>
      </w:r>
    </w:p>
    <w:p>
      <w:pPr>
        <w:pStyle w:val="40"/>
        <w:widowControl/>
        <w:spacing w:line="360" w:lineRule="exact"/>
        <w:ind w:firstLine="440" w:firstLineChars="200"/>
        <w:jc w:val="left"/>
        <w:rPr>
          <w:rFonts w:ascii="宋体" w:hAnsi="宋体" w:cs="宋体"/>
          <w:sz w:val="22"/>
          <w:szCs w:val="22"/>
        </w:rPr>
      </w:pPr>
      <w:r>
        <w:rPr>
          <w:rFonts w:hint="eastAsia" w:ascii="宋体" w:hAnsi="宋体" w:cs="宋体"/>
          <w:sz w:val="22"/>
          <w:szCs w:val="22"/>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pPr>
        <w:pStyle w:val="40"/>
        <w:widowControl/>
        <w:spacing w:line="360" w:lineRule="exact"/>
        <w:ind w:firstLine="440" w:firstLineChars="200"/>
        <w:jc w:val="left"/>
        <w:rPr>
          <w:rFonts w:ascii="宋体" w:hAnsi="宋体" w:cs="宋体"/>
          <w:sz w:val="22"/>
          <w:szCs w:val="22"/>
        </w:rPr>
      </w:pPr>
      <w:r>
        <w:rPr>
          <w:rFonts w:hint="eastAsia" w:ascii="宋体" w:hAnsi="宋体" w:cs="宋体"/>
          <w:sz w:val="22"/>
          <w:szCs w:val="22"/>
          <w:shd w:val="clear" w:color="auto" w:fill="FFFFFF"/>
        </w:rPr>
        <w:t>2.落实政府采购政策需满足的资格要求：无；</w:t>
      </w:r>
    </w:p>
    <w:p>
      <w:pPr>
        <w:pStyle w:val="40"/>
        <w:widowControl/>
        <w:spacing w:line="360" w:lineRule="exact"/>
        <w:ind w:firstLine="440" w:firstLineChars="200"/>
        <w:jc w:val="left"/>
        <w:rPr>
          <w:rFonts w:ascii="宋体" w:hAnsi="宋体" w:cs="宋体"/>
          <w:sz w:val="22"/>
          <w:szCs w:val="22"/>
        </w:rPr>
      </w:pPr>
      <w:r>
        <w:rPr>
          <w:rFonts w:hint="eastAsia" w:ascii="宋体" w:hAnsi="宋体" w:cs="宋体"/>
          <w:sz w:val="22"/>
          <w:szCs w:val="22"/>
          <w:shd w:val="clear" w:color="auto" w:fill="FFFFFF"/>
        </w:rPr>
        <w:t>3.本项目的特定资格要求：</w:t>
      </w:r>
    </w:p>
    <w:p>
      <w:pPr>
        <w:pStyle w:val="40"/>
        <w:widowControl/>
        <w:spacing w:line="360" w:lineRule="exact"/>
        <w:ind w:firstLine="440" w:firstLineChars="200"/>
        <w:jc w:val="left"/>
        <w:rPr>
          <w:rFonts w:ascii="宋体" w:hAnsi="宋体" w:cs="宋体"/>
          <w:sz w:val="22"/>
          <w:szCs w:val="22"/>
        </w:rPr>
      </w:pPr>
      <w:r>
        <w:rPr>
          <w:rFonts w:hint="eastAsia" w:ascii="宋体" w:hAnsi="宋体" w:cs="宋体"/>
          <w:sz w:val="22"/>
          <w:szCs w:val="22"/>
          <w:shd w:val="clear" w:color="auto" w:fill="FFFFFF"/>
        </w:rPr>
        <w:t>（1）参与本项目投标前三年内，在经营活动中没有重大违法记录（须按本项目投标文件格式要求提供《政府采购投标及履约承诺函》加盖投标人公章）；</w:t>
      </w:r>
    </w:p>
    <w:p>
      <w:pPr>
        <w:pStyle w:val="40"/>
        <w:widowControl/>
        <w:spacing w:line="360" w:lineRule="exact"/>
        <w:ind w:firstLine="440" w:firstLineChars="200"/>
        <w:jc w:val="left"/>
        <w:rPr>
          <w:rFonts w:ascii="宋体" w:hAnsi="宋体" w:cs="宋体"/>
          <w:sz w:val="22"/>
          <w:szCs w:val="22"/>
        </w:rPr>
      </w:pPr>
      <w:r>
        <w:rPr>
          <w:rFonts w:hint="eastAsia" w:ascii="宋体" w:hAnsi="宋体" w:cs="宋体"/>
          <w:sz w:val="22"/>
          <w:szCs w:val="22"/>
          <w:shd w:val="clear" w:color="auto" w:fill="FFFFFF"/>
        </w:rPr>
        <w:t>（2）参与本项目政府采购活动时不存在被有关部门禁止参与政府采购活动且在有效期内的情况（须按本项目投标文件格式要求提供《政府采购投标及履约承诺函》加盖投标人公章）；</w:t>
      </w:r>
    </w:p>
    <w:p>
      <w:pPr>
        <w:pStyle w:val="40"/>
        <w:widowControl/>
        <w:spacing w:line="360" w:lineRule="exact"/>
        <w:ind w:firstLine="440" w:firstLineChars="200"/>
        <w:jc w:val="left"/>
        <w:rPr>
          <w:rFonts w:ascii="宋体" w:hAnsi="宋体" w:cs="宋体"/>
          <w:sz w:val="22"/>
          <w:szCs w:val="22"/>
        </w:rPr>
      </w:pPr>
      <w:r>
        <w:rPr>
          <w:rFonts w:hint="eastAsia" w:ascii="宋体" w:hAnsi="宋体" w:cs="宋体"/>
          <w:sz w:val="22"/>
          <w:szCs w:val="22"/>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pPr>
        <w:pStyle w:val="40"/>
        <w:widowControl/>
        <w:spacing w:line="360" w:lineRule="exact"/>
        <w:ind w:firstLine="440" w:firstLineChars="200"/>
        <w:jc w:val="left"/>
        <w:rPr>
          <w:rFonts w:ascii="宋体" w:hAnsi="宋体" w:cs="宋体"/>
          <w:sz w:val="22"/>
          <w:szCs w:val="22"/>
        </w:rPr>
      </w:pPr>
      <w:r>
        <w:rPr>
          <w:rFonts w:hint="eastAsia" w:ascii="宋体" w:hAnsi="宋体" w:cs="宋体"/>
          <w:sz w:val="22"/>
          <w:szCs w:val="22"/>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pPr>
        <w:pStyle w:val="40"/>
        <w:widowControl/>
        <w:spacing w:line="360" w:lineRule="exact"/>
        <w:ind w:firstLine="440" w:firstLineChars="200"/>
        <w:jc w:val="left"/>
        <w:rPr>
          <w:rFonts w:ascii="宋体" w:hAnsi="宋体" w:cs="宋体"/>
          <w:sz w:val="22"/>
          <w:szCs w:val="22"/>
          <w:shd w:val="clear" w:color="auto" w:fill="FFFFFF"/>
        </w:rPr>
      </w:pPr>
      <w:r>
        <w:rPr>
          <w:rFonts w:hint="eastAsia" w:ascii="宋体" w:hAnsi="宋体" w:cs="宋体"/>
          <w:sz w:val="22"/>
          <w:szCs w:val="22"/>
          <w:shd w:val="clear" w:color="auto" w:fill="FFFFFF"/>
        </w:rPr>
        <w:t>（5）本项目不接受联合体投标，不接受进口产品投标；</w:t>
      </w:r>
    </w:p>
    <w:p>
      <w:pPr>
        <w:pStyle w:val="40"/>
        <w:widowControl/>
        <w:spacing w:line="360" w:lineRule="exact"/>
        <w:ind w:firstLine="440" w:firstLineChars="200"/>
        <w:jc w:val="left"/>
        <w:rPr>
          <w:rFonts w:ascii="宋体" w:hAnsi="宋体" w:cs="宋体"/>
          <w:kern w:val="0"/>
          <w:sz w:val="22"/>
          <w:szCs w:val="22"/>
        </w:rPr>
      </w:pPr>
      <w:r>
        <w:rPr>
          <w:rFonts w:hint="eastAsia" w:ascii="宋体" w:hAnsi="宋体" w:cs="宋体"/>
          <w:kern w:val="0"/>
          <w:sz w:val="22"/>
          <w:szCs w:val="22"/>
        </w:rPr>
        <w:t>（6）近三年在深圳地区有违法行为的供应商及其产品谢绝参与本次投标，投标人报名时须提供加盖公章的《企业信用信息公示报告》（日期须在招标公告发布日及之后）。</w:t>
      </w:r>
    </w:p>
    <w:p>
      <w:pPr>
        <w:spacing w:line="360" w:lineRule="exact"/>
        <w:jc w:val="right"/>
        <w:rPr>
          <w:rFonts w:ascii="宋体" w:hAnsi="宋体" w:cs="宋体"/>
          <w:sz w:val="22"/>
        </w:rPr>
      </w:pPr>
      <w:r>
        <w:rPr>
          <w:rFonts w:hint="eastAsia" w:ascii="宋体" w:hAnsi="宋体" w:cs="宋体"/>
          <w:sz w:val="22"/>
        </w:rPr>
        <w:t xml:space="preserve"> </w:t>
      </w:r>
    </w:p>
    <w:p/>
    <w:p/>
    <w:p/>
    <w:p/>
    <w:p/>
    <w:p/>
    <w:p/>
    <w:p/>
    <w:p>
      <w:pPr>
        <w:pStyle w:val="5"/>
        <w:rPr>
          <w:b w:val="0"/>
          <w:szCs w:val="24"/>
        </w:rPr>
      </w:pPr>
      <w:bookmarkStart w:id="20" w:name="_Toc73521547"/>
      <w:bookmarkStart w:id="21" w:name="_Toc73521635"/>
      <w:bookmarkStart w:id="22" w:name="_Toc73518117"/>
      <w:bookmarkStart w:id="23" w:name="_Toc73517639"/>
      <w:bookmarkStart w:id="24" w:name="_Toc101074876"/>
      <w:bookmarkStart w:id="25" w:name="_Toc60560625"/>
      <w:bookmarkStart w:id="26" w:name="_Toc60631620"/>
      <w:bookmarkStart w:id="27" w:name="_Toc100052364"/>
      <w:r>
        <w:rPr>
          <w:rFonts w:hint="eastAsia"/>
          <w:sz w:val="36"/>
          <w:szCs w:val="22"/>
        </w:rPr>
        <w:br w:type="page"/>
      </w:r>
      <w:r>
        <w:rPr>
          <w:rFonts w:hint="eastAsia"/>
          <w:sz w:val="36"/>
          <w:szCs w:val="22"/>
        </w:rPr>
        <w:t>第二章 招标项目需求</w:t>
      </w:r>
      <w:r>
        <w:rPr>
          <w:b w:val="0"/>
          <w:sz w:val="30"/>
          <w:szCs w:val="30"/>
        </w:rPr>
        <w:t xml:space="preserve"> </w:t>
      </w:r>
      <w:bookmarkEnd w:id="20"/>
      <w:bookmarkEnd w:id="21"/>
      <w:bookmarkEnd w:id="22"/>
      <w:bookmarkEnd w:id="23"/>
      <w:bookmarkEnd w:id="24"/>
      <w:bookmarkEnd w:id="25"/>
      <w:bookmarkEnd w:id="26"/>
      <w:bookmarkEnd w:id="27"/>
    </w:p>
    <w:p/>
    <w:p>
      <w:pPr>
        <w:pStyle w:val="10"/>
        <w:rPr>
          <w:rFonts w:ascii="宋体" w:hAnsi="宋体" w:cs="宋体"/>
        </w:rPr>
      </w:pPr>
    </w:p>
    <w:p>
      <w:pPr>
        <w:wordWrap w:val="0"/>
        <w:spacing w:line="360" w:lineRule="auto"/>
        <w:jc w:val="left"/>
        <w:rPr>
          <w:rFonts w:ascii="宋体" w:hAnsi="宋体" w:eastAsia="宋体" w:cs="宋体"/>
          <w:b/>
          <w:sz w:val="32"/>
          <w:szCs w:val="40"/>
        </w:rPr>
      </w:pPr>
      <w:r>
        <w:rPr>
          <w:rFonts w:hint="eastAsia" w:ascii="宋体" w:hAnsi="宋体" w:eastAsia="宋体" w:cs="宋体"/>
          <w:b/>
          <w:sz w:val="32"/>
          <w:szCs w:val="40"/>
        </w:rPr>
        <w:t>一、投标人的资格要求</w:t>
      </w:r>
    </w:p>
    <w:p>
      <w:pPr>
        <w:spacing w:line="360" w:lineRule="auto"/>
        <w:ind w:firstLine="480" w:firstLineChars="200"/>
        <w:rPr>
          <w:rFonts w:ascii="宋体" w:hAnsi="宋体" w:eastAsia="宋体" w:cs="宋体"/>
          <w:sz w:val="24"/>
        </w:rPr>
      </w:pPr>
      <w:r>
        <w:rPr>
          <w:rFonts w:hint="eastAsia" w:ascii="宋体" w:hAnsi="宋体" w:eastAsia="宋体" w:cs="宋体"/>
          <w:sz w:val="24"/>
        </w:rPr>
        <w:t>1、投标人须是在中华人民共和国境内注册的具有独立承担民事责任能力的国内独立法人（证明文件：须提供有效的营业执照以及法人代表证明书）。</w:t>
      </w:r>
    </w:p>
    <w:p>
      <w:pPr>
        <w:spacing w:line="360" w:lineRule="auto"/>
        <w:ind w:firstLine="480" w:firstLineChars="200"/>
        <w:rPr>
          <w:rFonts w:ascii="宋体" w:hAnsi="宋体" w:eastAsia="宋体" w:cs="宋体"/>
          <w:sz w:val="24"/>
        </w:rPr>
      </w:pPr>
      <w:r>
        <w:rPr>
          <w:rFonts w:hint="eastAsia" w:ascii="宋体" w:hAnsi="宋体" w:eastAsia="宋体" w:cs="宋体"/>
          <w:sz w:val="24"/>
        </w:rPr>
        <w:t>2、参与本项目投标前三年内，在经营活动中没有重大违法记录（提供《政府采购投标及履约承诺函》）；</w:t>
      </w:r>
    </w:p>
    <w:p>
      <w:pPr>
        <w:spacing w:line="360" w:lineRule="auto"/>
        <w:ind w:firstLine="480" w:firstLineChars="200"/>
        <w:rPr>
          <w:rFonts w:ascii="宋体" w:hAnsi="宋体" w:eastAsia="宋体" w:cs="宋体"/>
          <w:sz w:val="24"/>
        </w:rPr>
      </w:pPr>
      <w:r>
        <w:rPr>
          <w:rFonts w:hint="eastAsia" w:ascii="宋体" w:hAnsi="宋体" w:eastAsia="宋体" w:cs="宋体"/>
          <w:sz w:val="24"/>
        </w:rPr>
        <w:t>3、参与本项目投标，近</w:t>
      </w:r>
      <w:r>
        <w:rPr>
          <w:rFonts w:ascii="Helvetica" w:hAnsi="Helvetica" w:eastAsia="Helvetica" w:cs="Helvetica"/>
          <w:color w:val="333333"/>
          <w:sz w:val="24"/>
          <w:shd w:val="clear" w:color="auto" w:fill="FFFFFF"/>
        </w:rPr>
        <w:t>三年在深圳地区有违法行为的供应商及其产品谢绝参与本次投标，投标人报名时须提供加盖公章的《企业信用信息公示报告》。</w:t>
      </w:r>
    </w:p>
    <w:p>
      <w:pPr>
        <w:spacing w:line="360" w:lineRule="auto"/>
        <w:ind w:firstLine="480" w:firstLineChars="200"/>
        <w:rPr>
          <w:rFonts w:ascii="宋体" w:hAnsi="宋体" w:eastAsia="宋体" w:cs="宋体"/>
          <w:sz w:val="24"/>
        </w:rPr>
      </w:pPr>
      <w:r>
        <w:rPr>
          <w:rFonts w:hint="eastAsia" w:ascii="宋体" w:hAnsi="宋体" w:eastAsia="宋体" w:cs="宋体"/>
          <w:sz w:val="24"/>
        </w:rPr>
        <w:t>4、单位负责人为同一人或者存在直接控股、管理关系的不同供应商，不得参加同一合同项下的采购活动；</w:t>
      </w:r>
    </w:p>
    <w:p>
      <w:pPr>
        <w:spacing w:line="360" w:lineRule="auto"/>
        <w:ind w:firstLine="480" w:firstLineChars="200"/>
        <w:rPr>
          <w:rFonts w:ascii="宋体" w:hAnsi="宋体" w:eastAsia="宋体" w:cs="宋体"/>
          <w:sz w:val="24"/>
        </w:rPr>
      </w:pPr>
      <w:r>
        <w:rPr>
          <w:rFonts w:hint="eastAsia" w:ascii="宋体" w:hAnsi="宋体" w:eastAsia="宋体" w:cs="宋体"/>
          <w:sz w:val="24"/>
        </w:rPr>
        <w:t>5、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一周内查询结果为准。由采购代理机构查询，投标人无需提供证明材料）；</w:t>
      </w:r>
    </w:p>
    <w:p>
      <w:pPr>
        <w:spacing w:line="360" w:lineRule="auto"/>
        <w:ind w:firstLine="480" w:firstLineChars="200"/>
        <w:rPr>
          <w:rFonts w:ascii="宋体" w:hAnsi="宋体" w:eastAsia="宋体" w:cs="宋体"/>
          <w:sz w:val="24"/>
        </w:rPr>
      </w:pPr>
      <w:r>
        <w:rPr>
          <w:rFonts w:hint="eastAsia" w:ascii="宋体" w:hAnsi="宋体" w:eastAsia="宋体" w:cs="宋体"/>
          <w:sz w:val="24"/>
        </w:rPr>
        <w:t>6、本项目不接受联合体投标，不允许分包或转包；</w:t>
      </w:r>
    </w:p>
    <w:p>
      <w:pPr>
        <w:spacing w:line="360" w:lineRule="auto"/>
        <w:ind w:firstLine="480" w:firstLineChars="200"/>
        <w:rPr>
          <w:rFonts w:ascii="宋体" w:hAnsi="宋体" w:eastAsia="宋体" w:cs="宋体"/>
          <w:sz w:val="24"/>
        </w:rPr>
      </w:pPr>
      <w:r>
        <w:rPr>
          <w:rFonts w:hint="eastAsia" w:ascii="宋体" w:hAnsi="宋体" w:eastAsia="宋体" w:cs="宋体"/>
          <w:sz w:val="24"/>
        </w:rPr>
        <w:t>7、本项目不接受进口产品投标。</w:t>
      </w:r>
    </w:p>
    <w:p>
      <w:pPr>
        <w:pStyle w:val="10"/>
        <w:spacing w:before="139" w:line="609" w:lineRule="auto"/>
        <w:ind w:right="1609"/>
        <w:jc w:val="left"/>
        <w:rPr>
          <w:rFonts w:ascii="宋体" w:hAnsi="宋体" w:cs="宋体"/>
          <w:b w:val="0"/>
          <w:sz w:val="32"/>
          <w:szCs w:val="32"/>
        </w:rPr>
      </w:pPr>
      <w:r>
        <w:rPr>
          <w:rFonts w:hint="eastAsia" w:ascii="宋体" w:hAnsi="宋体" w:cs="宋体"/>
        </w:rPr>
        <w:br w:type="page"/>
      </w:r>
      <w:r>
        <w:rPr>
          <w:rFonts w:hint="eastAsia" w:ascii="宋体" w:hAnsi="宋体" w:cs="宋体"/>
          <w:spacing w:val="-3"/>
          <w:sz w:val="32"/>
          <w:szCs w:val="32"/>
        </w:rPr>
        <w:t>二、采购清单</w:t>
      </w:r>
    </w:p>
    <w:p>
      <w:pPr>
        <w:rPr>
          <w:rFonts w:ascii="宋体" w:hAnsi="宋体" w:eastAsia="宋体" w:cs="宋体"/>
          <w:b/>
          <w:bCs/>
          <w:sz w:val="24"/>
        </w:rPr>
      </w:pPr>
      <w:r>
        <w:rPr>
          <w:rFonts w:hint="eastAsia" w:ascii="宋体" w:hAnsi="宋体" w:eastAsia="宋体" w:cs="宋体"/>
          <w:b/>
          <w:bCs/>
          <w:sz w:val="24"/>
        </w:rPr>
        <w:t>（一）货物总清单</w:t>
      </w:r>
    </w:p>
    <w:p>
      <w:pPr>
        <w:pStyle w:val="10"/>
      </w:pPr>
    </w:p>
    <w:tbl>
      <w:tblPr>
        <w:tblStyle w:val="44"/>
        <w:tblW w:w="468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2"/>
        <w:gridCol w:w="3387"/>
        <w:gridCol w:w="1110"/>
        <w:gridCol w:w="707"/>
        <w:gridCol w:w="2116"/>
        <w:gridCol w:w="17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sz w:val="24"/>
              </w:rPr>
            </w:pPr>
            <w:r>
              <w:rPr>
                <w:rFonts w:hint="eastAsia" w:ascii="宋体" w:hAnsi="宋体" w:eastAsia="宋体" w:cs="宋体"/>
                <w:sz w:val="24"/>
              </w:rPr>
              <w:t>序号</w:t>
            </w:r>
          </w:p>
        </w:tc>
        <w:tc>
          <w:tcPr>
            <w:tcW w:w="1724" w:type="pct"/>
            <w:tcBorders>
              <w:top w:val="single" w:color="000000" w:sz="4" w:space="0"/>
              <w:left w:val="single" w:color="000000" w:sz="4" w:space="0"/>
              <w:bottom w:val="single" w:color="000000" w:sz="4" w:space="0"/>
              <w:right w:val="single" w:color="000000" w:sz="4" w:space="0"/>
            </w:tcBorders>
            <w:noWrap/>
            <w:vAlign w:val="center"/>
          </w:tcPr>
          <w:p>
            <w:pPr>
              <w:ind w:right="216" w:rightChars="103"/>
              <w:jc w:val="center"/>
              <w:rPr>
                <w:rFonts w:ascii="宋体" w:hAnsi="宋体" w:eastAsia="宋体" w:cs="宋体"/>
                <w:sz w:val="24"/>
              </w:rPr>
            </w:pPr>
            <w:r>
              <w:rPr>
                <w:rFonts w:hint="eastAsia" w:ascii="宋体" w:hAnsi="宋体" w:eastAsia="宋体" w:cs="宋体"/>
                <w:sz w:val="24"/>
              </w:rPr>
              <w:t>项目名称</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sz w:val="24"/>
              </w:rPr>
            </w:pPr>
            <w:r>
              <w:rPr>
                <w:rFonts w:hint="eastAsia" w:ascii="宋体" w:hAnsi="宋体" w:eastAsia="宋体" w:cs="宋体"/>
                <w:sz w:val="24"/>
              </w:rPr>
              <w:t>数量</w:t>
            </w:r>
          </w:p>
        </w:tc>
        <w:tc>
          <w:tcPr>
            <w:tcW w:w="360"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sz w:val="24"/>
              </w:rPr>
            </w:pPr>
            <w:r>
              <w:rPr>
                <w:rFonts w:hint="eastAsia" w:ascii="宋体" w:hAnsi="宋体" w:eastAsia="宋体" w:cs="宋体"/>
                <w:sz w:val="24"/>
              </w:rPr>
              <w:t>单位</w:t>
            </w:r>
          </w:p>
        </w:tc>
        <w:tc>
          <w:tcPr>
            <w:tcW w:w="1077"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sz w:val="24"/>
              </w:rPr>
            </w:pPr>
            <w:r>
              <w:rPr>
                <w:rFonts w:hint="eastAsia" w:ascii="宋体" w:hAnsi="宋体" w:eastAsia="宋体" w:cs="宋体"/>
                <w:sz w:val="24"/>
              </w:rPr>
              <w:t xml:space="preserve"> 财政预算限额（元）</w:t>
            </w:r>
          </w:p>
        </w:tc>
        <w:tc>
          <w:tcPr>
            <w:tcW w:w="912"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sz w:val="24"/>
              </w:rPr>
            </w:pPr>
            <w:r>
              <w:rPr>
                <w:rFonts w:hint="eastAsia" w:ascii="宋体" w:hAnsi="宋体" w:eastAsia="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jc w:val="center"/>
        </w:trPr>
        <w:tc>
          <w:tcPr>
            <w:tcW w:w="362" w:type="pct"/>
            <w:tcBorders>
              <w:top w:val="single" w:color="000000" w:sz="4" w:space="0"/>
              <w:left w:val="single" w:color="000000" w:sz="4" w:space="0"/>
              <w:right w:val="single" w:color="000000" w:sz="4" w:space="0"/>
            </w:tcBorders>
            <w:noWrap/>
            <w:vAlign w:val="center"/>
          </w:tcPr>
          <w:p>
            <w:pPr>
              <w:jc w:val="center"/>
              <w:rPr>
                <w:rFonts w:ascii="宋体" w:hAnsi="宋体" w:eastAsia="宋体" w:cs="宋体"/>
                <w:sz w:val="24"/>
              </w:rPr>
            </w:pPr>
            <w:r>
              <w:rPr>
                <w:rFonts w:hint="eastAsia" w:ascii="宋体" w:hAnsi="宋体" w:eastAsia="宋体" w:cs="宋体"/>
                <w:sz w:val="24"/>
              </w:rPr>
              <w:t>1</w:t>
            </w:r>
          </w:p>
        </w:tc>
        <w:tc>
          <w:tcPr>
            <w:tcW w:w="1724" w:type="pct"/>
            <w:tcBorders>
              <w:top w:val="single" w:color="000000" w:sz="4" w:space="0"/>
              <w:left w:val="single" w:color="000000" w:sz="4" w:space="0"/>
              <w:right w:val="single" w:color="000000" w:sz="4" w:space="0"/>
            </w:tcBorders>
            <w:noWrap/>
            <w:vAlign w:val="center"/>
          </w:tcPr>
          <w:p>
            <w:pPr>
              <w:jc w:val="center"/>
              <w:rPr>
                <w:rFonts w:ascii="宋体" w:hAnsi="宋体" w:eastAsia="宋体" w:cs="宋体"/>
                <w:sz w:val="24"/>
              </w:rPr>
            </w:pPr>
            <w:r>
              <w:rPr>
                <w:rFonts w:hint="eastAsia" w:cs="宋体" w:asciiTheme="minorEastAsia" w:hAnsiTheme="minorEastAsia"/>
                <w:szCs w:val="21"/>
              </w:rPr>
              <w:t>青少年脊柱侧弯健康科普知识</w:t>
            </w:r>
            <w:r>
              <w:rPr>
                <w:rFonts w:cs="宋体" w:asciiTheme="minorEastAsia" w:hAnsiTheme="minorEastAsia"/>
                <w:szCs w:val="21"/>
              </w:rPr>
              <w:t>—</w:t>
            </w:r>
            <w:r>
              <w:rPr>
                <w:rFonts w:hint="eastAsia" w:cs="宋体" w:asciiTheme="minorEastAsia" w:hAnsiTheme="minorEastAsia"/>
                <w:szCs w:val="21"/>
              </w:rPr>
              <w:t>折页</w:t>
            </w:r>
          </w:p>
        </w:tc>
        <w:tc>
          <w:tcPr>
            <w:tcW w:w="565" w:type="pct"/>
            <w:tcBorders>
              <w:top w:val="single" w:color="000000" w:sz="4" w:space="0"/>
              <w:left w:val="single" w:color="000000" w:sz="4" w:space="0"/>
              <w:right w:val="single" w:color="000000" w:sz="4" w:space="0"/>
            </w:tcBorders>
            <w:noWrap/>
            <w:vAlign w:val="center"/>
          </w:tcPr>
          <w:p>
            <w:pPr>
              <w:jc w:val="center"/>
              <w:rPr>
                <w:rFonts w:ascii="宋体" w:hAnsi="宋体" w:eastAsia="宋体" w:cs="宋体"/>
                <w:sz w:val="24"/>
              </w:rPr>
            </w:pPr>
            <w:r>
              <w:rPr>
                <w:rFonts w:ascii="宋体" w:hAnsi="宋体" w:eastAsia="宋体" w:cs="宋体"/>
                <w:sz w:val="24"/>
              </w:rPr>
              <w:t>2210000</w:t>
            </w:r>
          </w:p>
        </w:tc>
        <w:tc>
          <w:tcPr>
            <w:tcW w:w="360" w:type="pct"/>
            <w:tcBorders>
              <w:top w:val="single" w:color="000000" w:sz="4" w:space="0"/>
              <w:left w:val="single" w:color="000000" w:sz="4" w:space="0"/>
              <w:right w:val="single" w:color="000000" w:sz="4" w:space="0"/>
            </w:tcBorders>
            <w:noWrap/>
            <w:vAlign w:val="center"/>
          </w:tcPr>
          <w:p>
            <w:pPr>
              <w:jc w:val="center"/>
              <w:rPr>
                <w:rFonts w:ascii="宋体" w:hAnsi="宋体" w:eastAsia="宋体" w:cs="宋体"/>
                <w:sz w:val="24"/>
              </w:rPr>
            </w:pPr>
            <w:r>
              <w:rPr>
                <w:rFonts w:hint="eastAsia" w:ascii="宋体" w:hAnsi="宋体" w:eastAsia="宋体" w:cs="宋体"/>
                <w:sz w:val="24"/>
              </w:rPr>
              <w:t>份</w:t>
            </w:r>
          </w:p>
        </w:tc>
        <w:tc>
          <w:tcPr>
            <w:tcW w:w="1077" w:type="pct"/>
            <w:vMerge w:val="restart"/>
            <w:tcBorders>
              <w:top w:val="single" w:color="000000" w:sz="4" w:space="0"/>
              <w:left w:val="single" w:color="000000" w:sz="4" w:space="0"/>
              <w:right w:val="single" w:color="000000" w:sz="4" w:space="0"/>
            </w:tcBorders>
            <w:noWrap/>
            <w:vAlign w:val="center"/>
          </w:tcPr>
          <w:p>
            <w:pPr>
              <w:jc w:val="center"/>
              <w:rPr>
                <w:rFonts w:ascii="宋体" w:hAnsi="宋体" w:eastAsia="宋体" w:cs="宋体"/>
                <w:sz w:val="24"/>
              </w:rPr>
            </w:pPr>
            <w:r>
              <w:rPr>
                <w:rFonts w:ascii="宋体" w:hAnsi="宋体" w:eastAsia="宋体" w:cs="宋体"/>
                <w:sz w:val="24"/>
              </w:rPr>
              <w:t>304600</w:t>
            </w:r>
          </w:p>
        </w:tc>
        <w:tc>
          <w:tcPr>
            <w:tcW w:w="912" w:type="pct"/>
            <w:vMerge w:val="restart"/>
            <w:tcBorders>
              <w:top w:val="single" w:color="000000" w:sz="4" w:space="0"/>
              <w:left w:val="single" w:color="000000" w:sz="4" w:space="0"/>
              <w:right w:val="single" w:color="000000" w:sz="4" w:space="0"/>
            </w:tcBorders>
            <w:noWrap/>
            <w:vAlign w:val="center"/>
          </w:tcPr>
          <w:p>
            <w:pPr>
              <w:jc w:val="center"/>
              <w:rPr>
                <w:rFonts w:ascii="宋体" w:hAnsi="宋体" w:eastAsia="宋体" w:cs="宋体"/>
                <w:sz w:val="24"/>
              </w:rPr>
            </w:pPr>
            <w:r>
              <w:rPr>
                <w:rFonts w:hint="eastAsia" w:ascii="宋体" w:hAnsi="宋体" w:eastAsia="宋体" w:cs="宋体"/>
                <w:sz w:val="24"/>
              </w:rPr>
              <w:t>拒绝进口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sz w:val="24"/>
              </w:rPr>
            </w:pPr>
            <w:r>
              <w:rPr>
                <w:rFonts w:hint="eastAsia" w:ascii="宋体" w:hAnsi="宋体" w:eastAsia="宋体" w:cs="宋体"/>
                <w:sz w:val="24"/>
              </w:rPr>
              <w:t>2</w:t>
            </w:r>
          </w:p>
        </w:tc>
        <w:tc>
          <w:tcPr>
            <w:tcW w:w="1724"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sz w:val="24"/>
              </w:rPr>
            </w:pPr>
            <w:r>
              <w:rPr>
                <w:rFonts w:hint="eastAsia" w:cs="宋体" w:asciiTheme="minorEastAsia" w:hAnsiTheme="minorEastAsia"/>
                <w:szCs w:val="21"/>
              </w:rPr>
              <w:t>筛查结果家长告知书</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sz w:val="24"/>
              </w:rPr>
            </w:pPr>
            <w:r>
              <w:rPr>
                <w:rFonts w:ascii="宋体" w:hAnsi="宋体" w:eastAsia="宋体" w:cs="宋体"/>
                <w:sz w:val="24"/>
              </w:rPr>
              <w:t>2050000</w:t>
            </w:r>
          </w:p>
        </w:tc>
        <w:tc>
          <w:tcPr>
            <w:tcW w:w="360"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sz w:val="24"/>
              </w:rPr>
            </w:pPr>
            <w:r>
              <w:rPr>
                <w:rFonts w:hint="eastAsia" w:ascii="宋体" w:hAnsi="宋体" w:eastAsia="宋体" w:cs="宋体"/>
                <w:sz w:val="24"/>
              </w:rPr>
              <w:t>份</w:t>
            </w:r>
          </w:p>
        </w:tc>
        <w:tc>
          <w:tcPr>
            <w:tcW w:w="1077" w:type="pct"/>
            <w:vMerge w:val="continue"/>
            <w:tcBorders>
              <w:left w:val="single" w:color="000000" w:sz="4" w:space="0"/>
              <w:bottom w:val="single" w:color="000000" w:sz="4" w:space="0"/>
              <w:right w:val="single" w:color="000000" w:sz="4" w:space="0"/>
            </w:tcBorders>
            <w:noWrap/>
            <w:vAlign w:val="center"/>
          </w:tcPr>
          <w:p>
            <w:pPr>
              <w:jc w:val="center"/>
              <w:rPr>
                <w:rFonts w:ascii="宋体" w:hAnsi="宋体" w:eastAsia="宋体" w:cs="宋体"/>
                <w:sz w:val="24"/>
              </w:rPr>
            </w:pPr>
          </w:p>
        </w:tc>
        <w:tc>
          <w:tcPr>
            <w:tcW w:w="912" w:type="pct"/>
            <w:vMerge w:val="continue"/>
            <w:tcBorders>
              <w:left w:val="single" w:color="000000" w:sz="4" w:space="0"/>
              <w:bottom w:val="single" w:color="000000" w:sz="4" w:space="0"/>
              <w:right w:val="single" w:color="000000" w:sz="4" w:space="0"/>
            </w:tcBorders>
            <w:noWrap/>
            <w:vAlign w:val="center"/>
          </w:tcPr>
          <w:p>
            <w:pPr>
              <w:jc w:val="center"/>
              <w:rPr>
                <w:rFonts w:ascii="宋体" w:hAnsi="宋体" w:eastAsia="宋体" w:cs="宋体"/>
                <w:sz w:val="24"/>
              </w:rPr>
            </w:pPr>
          </w:p>
        </w:tc>
      </w:tr>
    </w:tbl>
    <w:p>
      <w:pPr>
        <w:pStyle w:val="10"/>
      </w:pPr>
      <w:r>
        <w:rPr>
          <w:rFonts w:hint="eastAsia"/>
        </w:rPr>
        <w:t xml:space="preserve"> </w:t>
      </w:r>
    </w:p>
    <w:p>
      <w:pPr>
        <w:pStyle w:val="10"/>
      </w:pPr>
      <w:r>
        <w:rPr>
          <w:rFonts w:hint="eastAsia"/>
        </w:rPr>
        <w:t>交货期：15个日历天</w:t>
      </w:r>
    </w:p>
    <w:p/>
    <w:p>
      <w:pPr>
        <w:pStyle w:val="10"/>
        <w:rPr>
          <w:b w:val="0"/>
        </w:rPr>
      </w:pPr>
      <w:r>
        <w:rPr>
          <w:rFonts w:hint="eastAsia"/>
        </w:rPr>
        <w:t>材质要求</w:t>
      </w:r>
    </w:p>
    <w:tbl>
      <w:tblPr>
        <w:tblStyle w:val="44"/>
        <w:tblW w:w="10573" w:type="dxa"/>
        <w:tblInd w:w="93" w:type="dxa"/>
        <w:tblLayout w:type="autofit"/>
        <w:tblCellMar>
          <w:top w:w="0" w:type="dxa"/>
          <w:left w:w="108" w:type="dxa"/>
          <w:bottom w:w="0" w:type="dxa"/>
          <w:right w:w="108" w:type="dxa"/>
        </w:tblCellMar>
      </w:tblPr>
      <w:tblGrid>
        <w:gridCol w:w="666"/>
        <w:gridCol w:w="1544"/>
        <w:gridCol w:w="8363"/>
      </w:tblGrid>
      <w:tr>
        <w:tblPrEx>
          <w:tblCellMar>
            <w:top w:w="0" w:type="dxa"/>
            <w:left w:w="108" w:type="dxa"/>
            <w:bottom w:w="0" w:type="dxa"/>
            <w:right w:w="108" w:type="dxa"/>
          </w:tblCellMar>
        </w:tblPrEx>
        <w:trPr>
          <w:trHeight w:val="199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0"/>
                <w:szCs w:val="20"/>
              </w:rPr>
            </w:pPr>
            <w:r>
              <w:rPr>
                <w:rFonts w:hint="eastAsia" w:cs="宋体" w:asciiTheme="minorEastAsia" w:hAnsiTheme="minorEastAsia"/>
                <w:szCs w:val="21"/>
              </w:rPr>
              <w:t>青少年脊柱侧弯健康科普知识</w:t>
            </w:r>
            <w:r>
              <w:rPr>
                <w:rFonts w:cs="宋体" w:asciiTheme="minorEastAsia" w:hAnsiTheme="minorEastAsia"/>
                <w:szCs w:val="21"/>
              </w:rPr>
              <w:t>—</w:t>
            </w:r>
            <w:r>
              <w:rPr>
                <w:rFonts w:hint="eastAsia" w:cs="宋体" w:asciiTheme="minorEastAsia" w:hAnsiTheme="minorEastAsia"/>
                <w:szCs w:val="21"/>
              </w:rPr>
              <w:t>折页</w:t>
            </w:r>
          </w:p>
        </w:tc>
        <w:tc>
          <w:tcPr>
            <w:tcW w:w="8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0"/>
                <w:szCs w:val="20"/>
              </w:rPr>
            </w:pPr>
            <w:r>
              <w:rPr>
                <w:rFonts w:hint="eastAsia" w:ascii="宋体" w:hAnsi="宋体"/>
                <w:szCs w:val="21"/>
              </w:rPr>
              <w:t>成品21*28.5</w:t>
            </w:r>
            <w:r>
              <w:rPr>
                <w:rFonts w:ascii="宋体" w:hAnsi="宋体"/>
                <w:szCs w:val="21"/>
              </w:rPr>
              <w:t>cm</w:t>
            </w:r>
            <w:r>
              <w:rPr>
                <w:rFonts w:hint="eastAsia" w:ascii="宋体" w:hAnsi="宋体"/>
                <w:szCs w:val="21"/>
              </w:rPr>
              <w:t>，</w:t>
            </w:r>
            <w:r>
              <w:rPr>
                <w:rFonts w:ascii="Arial" w:hAnsi="Arial" w:cs="Arial"/>
                <w:color w:val="333333"/>
                <w:szCs w:val="21"/>
                <w:shd w:val="clear" w:color="auto" w:fill="FFFFFF"/>
              </w:rPr>
              <w:t>常用的材料包括128-210g/m²的‌</w:t>
            </w:r>
            <w:r>
              <w:fldChar w:fldCharType="begin"/>
            </w:r>
            <w:r>
              <w:instrText xml:space="preserve"> HYPERLINK "https://www.baidu.com/s?rsv_idx=2&amp;tn=baiduhome_pg&amp;wd=%E9%93%9C%E7%89%88%E7%BA%B8&amp;usm=3&amp;ie=utf-8&amp;rsv_pq=810a2a1a00010cdc&amp;oq=%E6%8A%98%E9%A1%B5%E8%A6%81%E6%B1%82&amp;rsv_t=d5f4ALLKl0tQi%2FKQeInzGwUw6USp7FDqTrrpHFcsgkk0e1DfFv2pCZCO5tUKVblaCRIR&amp;sa=re_dqa_zy" \t "_self" </w:instrText>
            </w:r>
            <w:r>
              <w:fldChar w:fldCharType="separate"/>
            </w:r>
            <w:r>
              <w:rPr>
                <w:rStyle w:val="51"/>
                <w:rFonts w:hint="default" w:ascii="Arial" w:hAnsi="Arial" w:cs="Arial"/>
                <w:color w:val="000000" w:themeColor="text1"/>
                <w:szCs w:val="21"/>
                <w:shd w:val="clear" w:color="auto" w:fill="FFFFFF"/>
                <w14:textFill>
                  <w14:solidFill>
                    <w14:schemeClr w14:val="tx1"/>
                  </w14:solidFill>
                </w14:textFill>
              </w:rPr>
              <w:t>铜版纸</w:t>
            </w:r>
            <w:r>
              <w:rPr>
                <w:rStyle w:val="51"/>
                <w:rFonts w:hint="default" w:ascii="Arial" w:hAnsi="Arial" w:cs="Arial"/>
                <w:color w:val="000000" w:themeColor="text1"/>
                <w:szCs w:val="21"/>
                <w:shd w:val="clear" w:color="auto" w:fill="FFFFFF"/>
                <w14:textFill>
                  <w14:solidFill>
                    <w14:schemeClr w14:val="tx1"/>
                  </w14:solidFill>
                </w14:textFill>
              </w:rPr>
              <w:fldChar w:fldCharType="end"/>
            </w:r>
            <w:r>
              <w:rPr>
                <w:rFonts w:ascii="Arial" w:hAnsi="Arial" w:cs="Arial"/>
                <w:color w:val="000000" w:themeColor="text1"/>
                <w:szCs w:val="21"/>
                <w:shd w:val="clear" w:color="auto" w:fill="FFFFFF"/>
                <w14:textFill>
                  <w14:solidFill>
                    <w14:schemeClr w14:val="tx1"/>
                  </w14:solidFill>
                </w14:textFill>
              </w:rPr>
              <w:t>，</w:t>
            </w:r>
            <w:r>
              <w:rPr>
                <w:rFonts w:hint="eastAsia" w:ascii="Arial" w:hAnsi="Arial" w:cs="Arial"/>
                <w:color w:val="000000" w:themeColor="text1"/>
                <w:szCs w:val="21"/>
                <w:shd w:val="clear" w:color="auto" w:fill="FFFFFF"/>
                <w14:textFill>
                  <w14:solidFill>
                    <w14:schemeClr w14:val="tx1"/>
                  </w14:solidFill>
                </w14:textFill>
              </w:rPr>
              <w:t>纸张不宜过硬</w:t>
            </w:r>
            <w:r>
              <w:rPr>
                <w:rFonts w:hint="eastAsia" w:ascii="Arial" w:hAnsi="Arial" w:cs="Arial"/>
                <w:color w:val="333333"/>
                <w:szCs w:val="21"/>
                <w:shd w:val="clear" w:color="auto" w:fill="FFFFFF"/>
              </w:rPr>
              <w:t>。</w:t>
            </w:r>
            <w:r>
              <w:rPr>
                <w:rFonts w:ascii="Arial" w:hAnsi="Arial" w:cs="Arial"/>
                <w:color w:val="333333"/>
                <w:szCs w:val="21"/>
                <w:shd w:val="clear" w:color="auto" w:fill="FFFFFF"/>
              </w:rPr>
              <w:t>提高产品的档次</w:t>
            </w:r>
            <w:r>
              <w:rPr>
                <w:rFonts w:hint="eastAsia" w:ascii="Arial" w:hAnsi="Arial" w:cs="Arial"/>
                <w:color w:val="333333"/>
                <w:szCs w:val="21"/>
                <w:shd w:val="clear" w:color="auto" w:fill="FFFFFF"/>
              </w:rPr>
              <w:t>，</w:t>
            </w:r>
            <w:r>
              <w:rPr>
                <w:rFonts w:ascii="Arial" w:hAnsi="Arial" w:cs="Arial"/>
                <w:color w:val="333333"/>
                <w:szCs w:val="21"/>
                <w:shd w:val="clear" w:color="auto" w:fill="FFFFFF"/>
              </w:rPr>
              <w:t>折页设计应具有创新性</w:t>
            </w:r>
            <w:r>
              <w:rPr>
                <w:rFonts w:hint="eastAsia" w:ascii="Arial" w:hAnsi="Arial" w:cs="Arial"/>
                <w:color w:val="333333"/>
                <w:szCs w:val="21"/>
                <w:shd w:val="clear" w:color="auto" w:fill="FFFFFF"/>
              </w:rPr>
              <w:t>、</w:t>
            </w:r>
            <w:r>
              <w:rPr>
                <w:rFonts w:ascii="Arial" w:hAnsi="Arial" w:cs="Arial"/>
                <w:color w:val="333333"/>
                <w:szCs w:val="21"/>
                <w:shd w:val="clear" w:color="auto" w:fill="FFFFFF"/>
              </w:rPr>
              <w:t>‌</w:t>
            </w:r>
            <w:r>
              <w:rPr>
                <w:rStyle w:val="47"/>
                <w:rFonts w:ascii="Arial" w:hAnsi="Arial" w:cs="Arial"/>
                <w:color w:val="333333"/>
                <w:szCs w:val="21"/>
                <w:shd w:val="clear" w:color="auto" w:fill="FFFFFF"/>
              </w:rPr>
              <w:t>实用性</w:t>
            </w:r>
            <w:r>
              <w:rPr>
                <w:rStyle w:val="47"/>
                <w:rFonts w:hint="eastAsia" w:ascii="Arial" w:hAnsi="Arial" w:cs="Arial"/>
                <w:color w:val="333333"/>
                <w:szCs w:val="21"/>
                <w:shd w:val="clear" w:color="auto" w:fill="FFFFFF"/>
              </w:rPr>
              <w:t>、</w:t>
            </w:r>
            <w:r>
              <w:rPr>
                <w:rStyle w:val="47"/>
                <w:rFonts w:ascii="Arial" w:hAnsi="Arial" w:cs="Arial"/>
                <w:color w:val="333333"/>
                <w:szCs w:val="21"/>
                <w:shd w:val="clear" w:color="auto" w:fill="FFFFFF"/>
              </w:rPr>
              <w:t>视觉吸引力</w:t>
            </w:r>
            <w:r>
              <w:rPr>
                <w:rStyle w:val="47"/>
                <w:rFonts w:hint="eastAsia" w:ascii="Arial" w:hAnsi="Arial" w:cs="Arial"/>
                <w:color w:val="333333"/>
                <w:szCs w:val="21"/>
                <w:shd w:val="clear" w:color="auto" w:fill="FFFFFF"/>
              </w:rPr>
              <w:t>，</w:t>
            </w:r>
            <w:r>
              <w:rPr>
                <w:rFonts w:ascii="Arial" w:hAnsi="Arial" w:cs="Arial"/>
                <w:color w:val="333333"/>
                <w:szCs w:val="21"/>
                <w:shd w:val="clear" w:color="auto" w:fill="FFFFFF"/>
              </w:rPr>
              <w:t>确保折页的装饰性和功能性相得益彰</w:t>
            </w:r>
            <w:r>
              <w:rPr>
                <w:rFonts w:hint="eastAsia" w:ascii="Arial" w:hAnsi="Arial" w:cs="Arial"/>
                <w:color w:val="333333"/>
                <w:szCs w:val="21"/>
                <w:shd w:val="clear" w:color="auto" w:fill="FFFFFF"/>
              </w:rPr>
              <w:t>，</w:t>
            </w:r>
            <w:r>
              <w:rPr>
                <w:rFonts w:ascii="Arial" w:hAnsi="Arial" w:cs="Arial"/>
                <w:color w:val="333333"/>
                <w:szCs w:val="21"/>
                <w:shd w:val="clear" w:color="auto" w:fill="FFFFFF"/>
              </w:rPr>
              <w:t>‌页数适宜、‌文字简洁明了、‌图片精美高清、‌布局合理、‌配色协调、‌排版整齐以及印刷精细等方面。‌‌遵循四色印刷原理</w:t>
            </w:r>
            <w:r>
              <w:rPr>
                <w:rFonts w:hint="eastAsia" w:ascii="Arial" w:hAnsi="Arial" w:cs="Arial"/>
                <w:color w:val="333333"/>
                <w:szCs w:val="21"/>
                <w:shd w:val="clear" w:color="auto" w:fill="FFFFFF"/>
              </w:rPr>
              <w:t>，叠印</w:t>
            </w:r>
            <w:r>
              <w:rPr>
                <w:rFonts w:hint="eastAsia" w:ascii="宋体" w:hAnsi="宋体"/>
                <w:szCs w:val="21"/>
              </w:rPr>
              <w:t>颜色效果饱满鲜艳，印刷不能重影、过底、模糊等现象，</w:t>
            </w:r>
            <w:r>
              <w:rPr>
                <w:rFonts w:hint="eastAsia" w:ascii="Arial" w:hAnsi="Arial" w:cs="Arial"/>
                <w:color w:val="333333"/>
                <w:szCs w:val="21"/>
                <w:shd w:val="clear" w:color="auto" w:fill="FFFFFF"/>
              </w:rPr>
              <w:t>折页纸张防止爆线</w:t>
            </w:r>
            <w:r>
              <w:rPr>
                <w:rFonts w:hint="eastAsia" w:ascii="宋体" w:hAnsi="宋体"/>
                <w:szCs w:val="21"/>
              </w:rPr>
              <w:t>。</w:t>
            </w:r>
          </w:p>
        </w:tc>
      </w:tr>
      <w:tr>
        <w:tblPrEx>
          <w:tblCellMar>
            <w:top w:w="0" w:type="dxa"/>
            <w:left w:w="108" w:type="dxa"/>
            <w:bottom w:w="0" w:type="dxa"/>
            <w:right w:w="108" w:type="dxa"/>
          </w:tblCellMar>
        </w:tblPrEx>
        <w:trPr>
          <w:trHeight w:val="18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2</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0"/>
                <w:szCs w:val="20"/>
              </w:rPr>
            </w:pPr>
            <w:r>
              <w:rPr>
                <w:rFonts w:hint="eastAsia" w:cs="宋体" w:asciiTheme="minorEastAsia" w:hAnsiTheme="minorEastAsia"/>
                <w:szCs w:val="21"/>
              </w:rPr>
              <w:t>筛查结果家长告知书</w:t>
            </w:r>
          </w:p>
        </w:tc>
        <w:tc>
          <w:tcPr>
            <w:tcW w:w="8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0"/>
                <w:szCs w:val="20"/>
              </w:rPr>
            </w:pPr>
            <w:r>
              <w:rPr>
                <w:rFonts w:hint="eastAsia" w:ascii="宋体" w:hAnsi="宋体"/>
                <w:szCs w:val="21"/>
              </w:rPr>
              <w:t>成品21*14.5</w:t>
            </w:r>
            <w:r>
              <w:rPr>
                <w:rFonts w:ascii="宋体" w:hAnsi="宋体"/>
                <w:szCs w:val="21"/>
              </w:rPr>
              <w:t>cm</w:t>
            </w:r>
            <w:r>
              <w:rPr>
                <w:rFonts w:hint="eastAsia" w:ascii="宋体" w:hAnsi="宋体"/>
                <w:szCs w:val="21"/>
              </w:rPr>
              <w:t>，</w:t>
            </w:r>
            <w:r>
              <w:rPr>
                <w:rFonts w:ascii="Arial" w:hAnsi="Arial" w:cs="Arial"/>
                <w:color w:val="333333"/>
                <w:szCs w:val="21"/>
                <w:shd w:val="clear" w:color="auto" w:fill="FFFFFF"/>
              </w:rPr>
              <w:t>常用的材料包括</w:t>
            </w:r>
            <w:r>
              <w:rPr>
                <w:rFonts w:hint="eastAsia" w:ascii="Arial" w:hAnsi="Arial" w:cs="Arial"/>
                <w:color w:val="333333"/>
                <w:szCs w:val="21"/>
                <w:shd w:val="clear" w:color="auto" w:fill="FFFFFF"/>
              </w:rPr>
              <w:t>80-120</w:t>
            </w:r>
            <w:r>
              <w:rPr>
                <w:rFonts w:ascii="Arial" w:hAnsi="Arial" w:cs="Arial"/>
                <w:color w:val="333333"/>
                <w:szCs w:val="21"/>
                <w:shd w:val="clear" w:color="auto" w:fill="FFFFFF"/>
              </w:rPr>
              <w:t>g/m²的‌</w:t>
            </w:r>
            <w:r>
              <w:fldChar w:fldCharType="begin"/>
            </w:r>
            <w:r>
              <w:instrText xml:space="preserve"> HYPERLINK "https://www.baidu.com/s?rsv_idx=2&amp;tn=baiduhome_pg&amp;wd=%E9%93%9C%E7%89%88%E7%BA%B8&amp;usm=3&amp;ie=utf-8&amp;rsv_pq=810a2a1a00010cdc&amp;oq=%E6%8A%98%E9%A1%B5%E8%A6%81%E6%B1%82&amp;rsv_t=d5f4ALLKl0tQi%2FKQeInzGwUw6USp7FDqTrrpHFcsgkk0e1DfFv2pCZCO5tUKVblaCRIR&amp;sa=re_dqa_zy" \t "_self" </w:instrText>
            </w:r>
            <w:r>
              <w:fldChar w:fldCharType="separate"/>
            </w:r>
            <w:r>
              <w:rPr>
                <w:rStyle w:val="51"/>
                <w:rFonts w:ascii="Arial" w:hAnsi="Arial" w:cs="Arial"/>
                <w:color w:val="000000" w:themeColor="text1"/>
                <w:szCs w:val="21"/>
                <w:shd w:val="clear" w:color="auto" w:fill="FFFFFF"/>
                <w14:textFill>
                  <w14:solidFill>
                    <w14:schemeClr w14:val="tx1"/>
                  </w14:solidFill>
                </w14:textFill>
              </w:rPr>
              <w:t>双胶</w:t>
            </w:r>
            <w:r>
              <w:rPr>
                <w:rStyle w:val="51"/>
                <w:rFonts w:hint="default" w:ascii="Arial" w:hAnsi="Arial" w:cs="Arial"/>
                <w:color w:val="000000" w:themeColor="text1"/>
                <w:szCs w:val="21"/>
                <w:shd w:val="clear" w:color="auto" w:fill="FFFFFF"/>
                <w14:textFill>
                  <w14:solidFill>
                    <w14:schemeClr w14:val="tx1"/>
                  </w14:solidFill>
                </w14:textFill>
              </w:rPr>
              <w:t>纸</w:t>
            </w:r>
            <w:r>
              <w:rPr>
                <w:rStyle w:val="51"/>
                <w:rFonts w:hint="default" w:ascii="Arial" w:hAnsi="Arial" w:cs="Arial"/>
                <w:color w:val="000000" w:themeColor="text1"/>
                <w:szCs w:val="21"/>
                <w:shd w:val="clear" w:color="auto" w:fill="FFFFFF"/>
                <w14:textFill>
                  <w14:solidFill>
                    <w14:schemeClr w14:val="tx1"/>
                  </w14:solidFill>
                </w14:textFill>
              </w:rPr>
              <w:fldChar w:fldCharType="end"/>
            </w:r>
            <w:r>
              <w:rPr>
                <w:rFonts w:ascii="Arial" w:hAnsi="Arial" w:cs="Arial"/>
                <w:color w:val="000000" w:themeColor="text1"/>
                <w:szCs w:val="21"/>
                <w:shd w:val="clear" w:color="auto" w:fill="FFFFFF"/>
                <w14:textFill>
                  <w14:solidFill>
                    <w14:schemeClr w14:val="tx1"/>
                  </w14:solidFill>
                </w14:textFill>
              </w:rPr>
              <w:t>，</w:t>
            </w:r>
            <w:r>
              <w:rPr>
                <w:rFonts w:hint="eastAsia" w:ascii="Arial" w:hAnsi="Arial" w:cs="Arial"/>
                <w:color w:val="000000" w:themeColor="text1"/>
                <w:szCs w:val="21"/>
                <w:shd w:val="clear" w:color="auto" w:fill="FFFFFF"/>
                <w14:textFill>
                  <w14:solidFill>
                    <w14:schemeClr w14:val="tx1"/>
                  </w14:solidFill>
                </w14:textFill>
              </w:rPr>
              <w:t>纸张不宜过硬</w:t>
            </w:r>
            <w:r>
              <w:rPr>
                <w:rFonts w:hint="eastAsia" w:ascii="Arial" w:hAnsi="Arial" w:cs="Arial"/>
                <w:color w:val="333333"/>
                <w:szCs w:val="21"/>
                <w:shd w:val="clear" w:color="auto" w:fill="FFFFFF"/>
              </w:rPr>
              <w:t>。</w:t>
            </w:r>
            <w:r>
              <w:rPr>
                <w:rFonts w:ascii="Arial" w:hAnsi="Arial" w:cs="Arial"/>
                <w:color w:val="333333"/>
                <w:szCs w:val="21"/>
                <w:shd w:val="clear" w:color="auto" w:fill="FFFFFF"/>
              </w:rPr>
              <w:t>提高产品的档次</w:t>
            </w:r>
            <w:r>
              <w:rPr>
                <w:rFonts w:hint="eastAsia" w:ascii="Arial" w:hAnsi="Arial" w:cs="Arial"/>
                <w:color w:val="333333"/>
                <w:szCs w:val="21"/>
                <w:shd w:val="clear" w:color="auto" w:fill="FFFFFF"/>
              </w:rPr>
              <w:t>，</w:t>
            </w:r>
            <w:r>
              <w:rPr>
                <w:rFonts w:ascii="Arial" w:hAnsi="Arial" w:cs="Arial"/>
                <w:color w:val="333333"/>
                <w:szCs w:val="21"/>
                <w:shd w:val="clear" w:color="auto" w:fill="FFFFFF"/>
              </w:rPr>
              <w:t>设计应具有创新性</w:t>
            </w:r>
            <w:r>
              <w:rPr>
                <w:rFonts w:hint="eastAsia" w:ascii="Arial" w:hAnsi="Arial" w:cs="Arial"/>
                <w:color w:val="333333"/>
                <w:szCs w:val="21"/>
                <w:shd w:val="clear" w:color="auto" w:fill="FFFFFF"/>
              </w:rPr>
              <w:t>、</w:t>
            </w:r>
            <w:r>
              <w:rPr>
                <w:rFonts w:ascii="Arial" w:hAnsi="Arial" w:cs="Arial"/>
                <w:color w:val="333333"/>
                <w:szCs w:val="21"/>
                <w:shd w:val="clear" w:color="auto" w:fill="FFFFFF"/>
              </w:rPr>
              <w:t>‌</w:t>
            </w:r>
            <w:r>
              <w:rPr>
                <w:rStyle w:val="47"/>
                <w:rFonts w:ascii="Arial" w:hAnsi="Arial" w:cs="Arial"/>
                <w:color w:val="333333"/>
                <w:szCs w:val="21"/>
                <w:shd w:val="clear" w:color="auto" w:fill="FFFFFF"/>
              </w:rPr>
              <w:t>实用性</w:t>
            </w:r>
            <w:r>
              <w:rPr>
                <w:rStyle w:val="47"/>
                <w:rFonts w:hint="eastAsia" w:ascii="Arial" w:hAnsi="Arial" w:cs="Arial"/>
                <w:color w:val="333333"/>
                <w:szCs w:val="21"/>
                <w:shd w:val="clear" w:color="auto" w:fill="FFFFFF"/>
              </w:rPr>
              <w:t>、</w:t>
            </w:r>
            <w:r>
              <w:rPr>
                <w:rStyle w:val="47"/>
                <w:rFonts w:ascii="Arial" w:hAnsi="Arial" w:cs="Arial"/>
                <w:color w:val="333333"/>
                <w:szCs w:val="21"/>
                <w:shd w:val="clear" w:color="auto" w:fill="FFFFFF"/>
              </w:rPr>
              <w:t>视觉吸引力</w:t>
            </w:r>
            <w:r>
              <w:rPr>
                <w:rStyle w:val="47"/>
                <w:rFonts w:hint="eastAsia" w:ascii="Arial" w:hAnsi="Arial" w:cs="Arial"/>
                <w:color w:val="333333"/>
                <w:szCs w:val="21"/>
                <w:shd w:val="clear" w:color="auto" w:fill="FFFFFF"/>
              </w:rPr>
              <w:t>，</w:t>
            </w:r>
            <w:r>
              <w:rPr>
                <w:rFonts w:ascii="Arial" w:hAnsi="Arial" w:cs="Arial"/>
                <w:color w:val="333333"/>
                <w:szCs w:val="21"/>
                <w:shd w:val="clear" w:color="auto" w:fill="FFFFFF"/>
              </w:rPr>
              <w:t>确保‌文字简洁明了、‌图片精美高清、‌布局合理、‌配色协调、‌排版整齐以及印刷精细等方面。‌‌遵循四色印刷原理</w:t>
            </w:r>
            <w:r>
              <w:rPr>
                <w:rFonts w:hint="eastAsia" w:ascii="Arial" w:hAnsi="Arial" w:cs="Arial"/>
                <w:color w:val="333333"/>
                <w:szCs w:val="21"/>
                <w:shd w:val="clear" w:color="auto" w:fill="FFFFFF"/>
              </w:rPr>
              <w:t>，叠印</w:t>
            </w:r>
            <w:r>
              <w:rPr>
                <w:rFonts w:hint="eastAsia" w:ascii="宋体" w:hAnsi="宋体"/>
                <w:szCs w:val="21"/>
              </w:rPr>
              <w:t>颜色效果饱满鲜艳，印刷不能有重影、过底、模糊等现象。</w:t>
            </w:r>
          </w:p>
        </w:tc>
      </w:tr>
    </w:tbl>
    <w:p>
      <w:pPr>
        <w:ind w:left="108" w:hanging="108"/>
        <w:jc w:val="left"/>
      </w:pPr>
    </w:p>
    <w:p>
      <w:pPr>
        <w:spacing w:line="360" w:lineRule="auto"/>
        <w:rPr>
          <w:rFonts w:ascii="宋体" w:hAnsi="宋体" w:eastAsia="宋体" w:cs="宋体"/>
          <w:sz w:val="28"/>
          <w:szCs w:val="28"/>
        </w:rPr>
      </w:pPr>
      <w:r>
        <w:rPr>
          <w:rFonts w:hint="eastAsia" w:ascii="宋体" w:hAnsi="宋体" w:eastAsia="宋体" w:cs="宋体"/>
          <w:sz w:val="28"/>
          <w:szCs w:val="28"/>
        </w:rPr>
        <w:t>（一）质量技术标准</w:t>
      </w:r>
    </w:p>
    <w:p>
      <w:pPr>
        <w:pStyle w:val="10"/>
        <w:rPr>
          <w:rFonts w:ascii="宋体" w:hAnsi="宋体" w:cs="宋体"/>
          <w:sz w:val="28"/>
          <w:szCs w:val="28"/>
        </w:rPr>
      </w:pPr>
      <w:r>
        <w:rPr>
          <w:rFonts w:hint="eastAsia" w:ascii="宋体" w:hAnsi="宋体" w:cs="宋体"/>
          <w:sz w:val="28"/>
          <w:szCs w:val="28"/>
        </w:rPr>
        <w:t>1、投标人提供的物品必须符合中华人民共和国国家安全环保标准、国家有关产品质量认证标准。</w:t>
      </w:r>
    </w:p>
    <w:p>
      <w:pPr>
        <w:spacing w:line="360" w:lineRule="auto"/>
        <w:rPr>
          <w:rFonts w:ascii="宋体" w:hAnsi="宋体" w:eastAsia="宋体" w:cs="宋体"/>
          <w:sz w:val="28"/>
          <w:szCs w:val="28"/>
        </w:rPr>
      </w:pPr>
      <w:r>
        <w:rPr>
          <w:rFonts w:hint="eastAsia" w:ascii="宋体" w:hAnsi="宋体" w:eastAsia="宋体" w:cs="宋体"/>
          <w:sz w:val="28"/>
          <w:szCs w:val="28"/>
        </w:rPr>
        <w:t>2、投标人提供的物品必须是全新的、包装完好、表面和内部均无瑕疵的原厂正品，而且投标人提供的物品必须是近期出厂的。不超过出厂日期至有效日期的一半时间。</w:t>
      </w:r>
    </w:p>
    <w:p>
      <w:pPr>
        <w:pStyle w:val="10"/>
        <w:rPr>
          <w:rFonts w:ascii="宋体" w:hAnsi="宋体" w:cs="宋体"/>
          <w:sz w:val="28"/>
          <w:szCs w:val="28"/>
        </w:rPr>
      </w:pPr>
      <w:r>
        <w:rPr>
          <w:rFonts w:hint="eastAsia"/>
          <w:sz w:val="28"/>
          <w:szCs w:val="28"/>
        </w:rPr>
        <w:t>3、</w:t>
      </w:r>
      <w:r>
        <w:rPr>
          <w:rFonts w:hint="eastAsia" w:ascii="宋体" w:hAnsi="宋体" w:cs="宋体"/>
          <w:sz w:val="28"/>
          <w:szCs w:val="28"/>
        </w:rPr>
        <w:t>在采购人或采购委托人签收之前，货物的所有权和风险属于中标人，货物发生遗失、损坏、质变等由中标人负责。</w:t>
      </w:r>
    </w:p>
    <w:p>
      <w:pPr>
        <w:pStyle w:val="10"/>
        <w:rPr>
          <w:rFonts w:ascii="宋体" w:hAnsi="宋体" w:cs="宋体"/>
          <w:sz w:val="28"/>
          <w:szCs w:val="28"/>
        </w:rPr>
      </w:pPr>
      <w:r>
        <w:rPr>
          <w:rFonts w:hint="eastAsia" w:ascii="宋体" w:hAnsi="宋体" w:cs="宋体"/>
          <w:sz w:val="28"/>
          <w:szCs w:val="28"/>
        </w:rPr>
        <w:t>4、中标人须严格按照采购人的要求配送商品，不得随意更改增减数量、规格、品牌、型号等，否则，采购人及指定签收人有权拒收。</w:t>
      </w:r>
    </w:p>
    <w:p>
      <w:pPr>
        <w:pStyle w:val="10"/>
        <w:rPr>
          <w:rFonts w:ascii="宋体" w:hAnsi="宋体" w:cs="宋体"/>
          <w:sz w:val="28"/>
          <w:szCs w:val="28"/>
        </w:rPr>
      </w:pPr>
      <w:r>
        <w:rPr>
          <w:rFonts w:hint="eastAsia" w:ascii="宋体" w:hAnsi="宋体" w:cs="宋体"/>
          <w:sz w:val="28"/>
          <w:szCs w:val="28"/>
        </w:rPr>
        <w:t>5、除客观不可抗力外，中标人不得推迟送货。如客观原因确需延迟送货的，中标人必须告知采购人。</w:t>
      </w:r>
    </w:p>
    <w:p>
      <w:pPr>
        <w:pStyle w:val="9"/>
        <w:spacing w:line="360" w:lineRule="auto"/>
        <w:ind w:firstLine="0"/>
        <w:rPr>
          <w:rFonts w:ascii="宋体" w:hAnsi="宋体"/>
          <w:sz w:val="28"/>
          <w:szCs w:val="28"/>
        </w:rPr>
      </w:pPr>
      <w:r>
        <w:rPr>
          <w:rFonts w:hint="eastAsia" w:ascii="宋体" w:hAnsi="宋体"/>
          <w:sz w:val="28"/>
          <w:szCs w:val="28"/>
        </w:rPr>
        <w:t>6、中标方须向采购单位提供优质的售后技术支持服务，开通 24 小时热线电话接受采购单位的电话技术咨询。如因中标方所提供产品出现</w:t>
      </w:r>
      <w:r>
        <w:rPr>
          <w:rFonts w:hint="eastAsia" w:ascii="宋体" w:hAnsi="宋体" w:cs="宋体"/>
          <w:sz w:val="28"/>
          <w:szCs w:val="28"/>
        </w:rPr>
        <w:t>损坏、故障等质量问题</w:t>
      </w:r>
      <w:r>
        <w:rPr>
          <w:rFonts w:hint="eastAsia" w:ascii="宋体" w:hAnsi="宋体"/>
          <w:sz w:val="28"/>
          <w:szCs w:val="28"/>
        </w:rPr>
        <w:t>，中标方应在24小时内提供现场服务，并在48小时内完成修复工作。</w:t>
      </w:r>
    </w:p>
    <w:p>
      <w:pPr>
        <w:pStyle w:val="9"/>
        <w:spacing w:line="360" w:lineRule="auto"/>
        <w:ind w:firstLine="0"/>
        <w:rPr>
          <w:rFonts w:ascii="宋体" w:hAnsi="宋体"/>
          <w:sz w:val="28"/>
          <w:szCs w:val="28"/>
        </w:rPr>
      </w:pPr>
      <w:r>
        <w:rPr>
          <w:rFonts w:hint="eastAsia" w:ascii="宋体" w:hAnsi="宋体"/>
          <w:sz w:val="28"/>
          <w:szCs w:val="28"/>
        </w:rPr>
        <w:t>7、中标方应向采购方承诺：进货要经过正当渠道，向甲方提供的维修材料等是正品，决不向甲方销售假冒、劣质材料，否则一旦采购方因中标方的产品不合格而发生事故，中标方必须要向采购方加倍赔偿所造成的经济损失，采购方有权追究中标方的经济责任及法律责任。</w:t>
      </w:r>
    </w:p>
    <w:p>
      <w:pPr>
        <w:pStyle w:val="9"/>
        <w:spacing w:line="360" w:lineRule="auto"/>
        <w:rPr>
          <w:sz w:val="22"/>
          <w:szCs w:val="22"/>
        </w:rPr>
      </w:pPr>
      <w:r>
        <w:rPr>
          <w:rFonts w:hint="eastAsia"/>
          <w:sz w:val="22"/>
          <w:szCs w:val="22"/>
        </w:rPr>
        <w:t xml:space="preserve"> </w:t>
      </w:r>
    </w:p>
    <w:p>
      <w:pPr>
        <w:pStyle w:val="10"/>
        <w:sectPr>
          <w:pgSz w:w="11906" w:h="16838"/>
          <w:pgMar w:top="720" w:right="720" w:bottom="720" w:left="720" w:header="851" w:footer="992" w:gutter="0"/>
          <w:cols w:space="0" w:num="1"/>
          <w:docGrid w:type="lines" w:linePitch="319" w:charSpace="0"/>
        </w:sectPr>
      </w:pPr>
    </w:p>
    <w:p>
      <w:pPr>
        <w:rPr>
          <w:rFonts w:ascii="宋体" w:hAnsi="宋体" w:eastAsia="宋体" w:cs="宋体"/>
          <w:color w:val="000000" w:themeColor="text1"/>
          <w:sz w:val="48"/>
          <w:szCs w:val="32"/>
          <w14:textFill>
            <w14:solidFill>
              <w14:schemeClr w14:val="tx1"/>
            </w14:solidFill>
          </w14:textFill>
        </w:rPr>
      </w:pPr>
      <w:r>
        <w:rPr>
          <w:rFonts w:hint="eastAsia" w:ascii="宋体" w:hAnsi="宋体" w:eastAsia="宋体" w:cs="宋体"/>
          <w:b/>
          <w:bCs/>
          <w:color w:val="000000" w:themeColor="text1"/>
          <w:sz w:val="32"/>
          <w:szCs w:val="40"/>
          <w14:textFill>
            <w14:solidFill>
              <w14:schemeClr w14:val="tx1"/>
            </w14:solidFill>
          </w14:textFill>
        </w:rPr>
        <w:t>四、商务要求</w:t>
      </w:r>
    </w:p>
    <w:p>
      <w:pPr>
        <w:spacing w:before="156" w:beforeLines="50" w:after="156" w:afterLines="50" w:line="360" w:lineRule="auto"/>
        <w:rPr>
          <w:rFonts w:ascii="宋体" w:hAnsi="宋体" w:eastAsia="宋体" w:cs="Times New Roman"/>
          <w:b/>
          <w:bCs/>
          <w:sz w:val="24"/>
        </w:rPr>
      </w:pPr>
      <w:r>
        <w:rPr>
          <w:rFonts w:hint="eastAsia" w:ascii="宋体" w:hAnsi="宋体" w:eastAsia="宋体" w:cs="Times New Roman"/>
          <w:b/>
          <w:bCs/>
          <w:sz w:val="24"/>
        </w:rPr>
        <w:t>（一）▲交货要求</w:t>
      </w:r>
    </w:p>
    <w:p>
      <w:pPr>
        <w:spacing w:line="360" w:lineRule="auto"/>
        <w:ind w:firstLine="422" w:firstLineChars="175"/>
        <w:rPr>
          <w:rFonts w:ascii="宋体" w:hAnsi="宋体" w:eastAsia="宋体" w:cs="宋体"/>
          <w:sz w:val="24"/>
        </w:rPr>
      </w:pPr>
      <w:r>
        <w:rPr>
          <w:rFonts w:hint="eastAsia" w:ascii="宋体" w:hAnsi="宋体" w:eastAsia="宋体" w:cs="宋体"/>
          <w:b/>
          <w:bCs/>
          <w:sz w:val="24"/>
        </w:rPr>
        <w:t>1、交货期的要求</w:t>
      </w:r>
      <w:r>
        <w:rPr>
          <w:rFonts w:hint="eastAsia" w:ascii="宋体" w:hAnsi="宋体" w:eastAsia="宋体" w:cs="宋体"/>
          <w:sz w:val="24"/>
        </w:rPr>
        <w:t>：根据采购方实际需求确定采购数量，在规定时间内安排交货。</w:t>
      </w:r>
    </w:p>
    <w:p>
      <w:pPr>
        <w:spacing w:line="360" w:lineRule="auto"/>
        <w:ind w:firstLine="422" w:firstLineChars="175"/>
        <w:rPr>
          <w:rFonts w:ascii="宋体" w:hAnsi="宋体" w:eastAsia="宋体" w:cs="宋体"/>
          <w:sz w:val="24"/>
        </w:rPr>
      </w:pPr>
      <w:r>
        <w:rPr>
          <w:rFonts w:hint="eastAsia" w:ascii="宋体" w:hAnsi="宋体" w:eastAsia="宋体" w:cs="宋体"/>
          <w:b/>
          <w:bCs/>
          <w:sz w:val="24"/>
        </w:rPr>
        <w:t>2、交货地点</w:t>
      </w:r>
      <w:r>
        <w:rPr>
          <w:rFonts w:hint="eastAsia" w:ascii="宋体" w:hAnsi="宋体" w:eastAsia="宋体" w:cs="宋体"/>
          <w:sz w:val="24"/>
        </w:rPr>
        <w:t>：采购方指定的地点。</w:t>
      </w:r>
    </w:p>
    <w:p>
      <w:pPr>
        <w:spacing w:line="360" w:lineRule="auto"/>
        <w:ind w:firstLine="422" w:firstLineChars="175"/>
        <w:rPr>
          <w:rFonts w:ascii="宋体" w:hAnsi="宋体" w:eastAsia="宋体" w:cs="宋体"/>
          <w:b/>
          <w:bCs/>
          <w:sz w:val="24"/>
        </w:rPr>
      </w:pPr>
      <w:r>
        <w:rPr>
          <w:rFonts w:hint="eastAsia" w:ascii="宋体" w:hAnsi="宋体" w:eastAsia="宋体" w:cs="宋体"/>
          <w:b/>
          <w:bCs/>
          <w:sz w:val="24"/>
        </w:rPr>
        <w:t>3、运输及包装要求</w:t>
      </w:r>
    </w:p>
    <w:p>
      <w:pPr>
        <w:pStyle w:val="56"/>
        <w:tabs>
          <w:tab w:val="left" w:pos="426"/>
        </w:tabs>
        <w:spacing w:line="360" w:lineRule="auto"/>
        <w:ind w:firstLine="660" w:firstLineChars="275"/>
        <w:rPr>
          <w:rFonts w:ascii="宋体" w:hAnsi="宋体" w:eastAsia="宋体" w:cs="宋体"/>
          <w:kern w:val="0"/>
          <w:sz w:val="24"/>
        </w:rPr>
      </w:pPr>
      <w:r>
        <w:rPr>
          <w:rFonts w:hint="eastAsia" w:ascii="宋体" w:hAnsi="宋体" w:eastAsia="宋体" w:cs="宋体"/>
          <w:kern w:val="0"/>
          <w:sz w:val="24"/>
        </w:rPr>
        <w:t>a</w:t>
      </w:r>
      <w:r>
        <w:rPr>
          <w:rFonts w:hint="eastAsia" w:ascii="宋体" w:hAnsi="宋体" w:eastAsia="宋体" w:cs="宋体"/>
          <w:sz w:val="24"/>
        </w:rPr>
        <w:t>、</w:t>
      </w:r>
      <w:r>
        <w:rPr>
          <w:rFonts w:hint="eastAsia" w:ascii="宋体" w:hAnsi="宋体" w:eastAsia="宋体" w:cs="宋体"/>
          <w:kern w:val="0"/>
          <w:sz w:val="24"/>
        </w:rPr>
        <w:t>中标人在送货时需向采购人提供详细的供货清单，由采购人确认。</w:t>
      </w:r>
    </w:p>
    <w:p>
      <w:pPr>
        <w:pStyle w:val="56"/>
        <w:tabs>
          <w:tab w:val="left" w:pos="426"/>
        </w:tabs>
        <w:spacing w:line="360" w:lineRule="auto"/>
        <w:ind w:firstLine="660" w:firstLineChars="275"/>
        <w:rPr>
          <w:rFonts w:ascii="宋体" w:hAnsi="宋体" w:eastAsia="宋体" w:cs="宋体"/>
          <w:kern w:val="0"/>
          <w:sz w:val="24"/>
        </w:rPr>
      </w:pPr>
      <w:r>
        <w:rPr>
          <w:rFonts w:hint="eastAsia" w:ascii="宋体" w:hAnsi="宋体" w:eastAsia="宋体" w:cs="宋体"/>
          <w:kern w:val="0"/>
          <w:sz w:val="24"/>
        </w:rPr>
        <w:t>b</w:t>
      </w:r>
      <w:r>
        <w:rPr>
          <w:rFonts w:hint="eastAsia" w:ascii="宋体" w:hAnsi="宋体" w:eastAsia="宋体" w:cs="宋体"/>
          <w:sz w:val="24"/>
        </w:rPr>
        <w:t>、</w:t>
      </w:r>
      <w:r>
        <w:rPr>
          <w:rFonts w:hint="eastAsia" w:ascii="宋体" w:hAnsi="宋体" w:eastAsia="宋体" w:cs="宋体"/>
          <w:kern w:val="0"/>
          <w:sz w:val="24"/>
        </w:rPr>
        <w:t>中标方负责把货物免费运送至采购方指定地点（深圳市内）。</w:t>
      </w:r>
    </w:p>
    <w:p>
      <w:pPr>
        <w:pStyle w:val="56"/>
        <w:tabs>
          <w:tab w:val="left" w:pos="426"/>
        </w:tabs>
        <w:spacing w:line="360" w:lineRule="auto"/>
        <w:ind w:firstLine="660" w:firstLineChars="275"/>
        <w:rPr>
          <w:rFonts w:ascii="宋体" w:hAnsi="宋体" w:eastAsia="宋体" w:cs="宋体"/>
          <w:kern w:val="0"/>
          <w:sz w:val="24"/>
        </w:rPr>
      </w:pPr>
      <w:r>
        <w:rPr>
          <w:rFonts w:hint="eastAsia" w:ascii="宋体" w:hAnsi="宋体" w:eastAsia="宋体" w:cs="宋体"/>
          <w:kern w:val="0"/>
          <w:sz w:val="24"/>
        </w:rPr>
        <w:t>c</w:t>
      </w:r>
      <w:r>
        <w:rPr>
          <w:rFonts w:hint="eastAsia" w:ascii="宋体" w:hAnsi="宋体" w:eastAsia="宋体" w:cs="宋体"/>
          <w:sz w:val="24"/>
        </w:rPr>
        <w:t>、</w:t>
      </w:r>
      <w:r>
        <w:rPr>
          <w:rFonts w:hint="eastAsia" w:ascii="宋体" w:hAnsi="宋体" w:eastAsia="宋体" w:cs="宋体"/>
          <w:kern w:val="0"/>
          <w:sz w:val="24"/>
        </w:rPr>
        <w:t>中标方应严格按照行业中规定的技术标准包装，交货时要提供货物明细单。</w:t>
      </w:r>
    </w:p>
    <w:p>
      <w:pPr>
        <w:spacing w:before="156" w:beforeLines="50" w:after="156" w:afterLines="50" w:line="360" w:lineRule="auto"/>
        <w:rPr>
          <w:rFonts w:ascii="宋体" w:hAnsi="宋体" w:eastAsia="宋体" w:cs="Times New Roman"/>
          <w:b/>
          <w:bCs/>
          <w:sz w:val="24"/>
        </w:rPr>
      </w:pPr>
      <w:r>
        <w:rPr>
          <w:rFonts w:hint="eastAsia" w:ascii="宋体" w:hAnsi="宋体" w:eastAsia="宋体" w:cs="Times New Roman"/>
          <w:b/>
          <w:bCs/>
          <w:sz w:val="24"/>
        </w:rPr>
        <w:t>（二）验收要求</w:t>
      </w:r>
    </w:p>
    <w:p>
      <w:pPr>
        <w:spacing w:line="360" w:lineRule="auto"/>
        <w:ind w:firstLine="420" w:firstLineChars="175"/>
        <w:rPr>
          <w:rFonts w:ascii="宋体" w:hAnsi="宋体" w:eastAsia="宋体" w:cs="宋体"/>
          <w:sz w:val="24"/>
        </w:rPr>
      </w:pPr>
      <w:r>
        <w:rPr>
          <w:rFonts w:hint="eastAsia" w:ascii="宋体" w:hAnsi="宋体" w:eastAsia="宋体" w:cs="宋体"/>
          <w:sz w:val="24"/>
        </w:rPr>
        <w:t>1、投标人货物经过双方检验认可后，签署验收报告。</w:t>
      </w:r>
    </w:p>
    <w:p>
      <w:pPr>
        <w:spacing w:line="360" w:lineRule="auto"/>
        <w:ind w:firstLine="420" w:firstLineChars="175"/>
        <w:rPr>
          <w:rFonts w:ascii="宋体" w:hAnsi="宋体" w:eastAsia="宋体" w:cs="宋体"/>
          <w:sz w:val="24"/>
        </w:rPr>
      </w:pPr>
      <w:r>
        <w:rPr>
          <w:rFonts w:hint="eastAsia" w:ascii="宋体" w:hAnsi="宋体" w:eastAsia="宋体" w:cs="宋体"/>
          <w:sz w:val="24"/>
        </w:rPr>
        <w:t>2、中标人无条件接受采购人在整个产品生产过程中的监督。如发现中标人无能力完成该批货物的供货、不能按计划进行配送等，采购人有权废标或中止合同，由此带来的损失由中标人承担，并报政府采购主管部门进行相应处罚。</w:t>
      </w:r>
    </w:p>
    <w:p>
      <w:pPr>
        <w:spacing w:line="360" w:lineRule="auto"/>
        <w:ind w:firstLine="420" w:firstLineChars="175"/>
        <w:rPr>
          <w:rFonts w:ascii="宋体" w:hAnsi="宋体" w:eastAsia="宋体" w:cs="宋体"/>
          <w:sz w:val="24"/>
        </w:rPr>
      </w:pPr>
      <w:r>
        <w:rPr>
          <w:rFonts w:hint="eastAsia" w:ascii="宋体" w:hAnsi="宋体" w:eastAsia="宋体" w:cs="宋体"/>
          <w:sz w:val="24"/>
        </w:rPr>
        <w:t>3、当满足以下条件时，采购人向中标人签发货物验收报告：</w:t>
      </w:r>
    </w:p>
    <w:p>
      <w:pPr>
        <w:spacing w:line="360" w:lineRule="auto"/>
        <w:ind w:firstLine="660" w:firstLineChars="275"/>
        <w:rPr>
          <w:rFonts w:ascii="宋体" w:hAnsi="宋体" w:eastAsia="宋体" w:cs="宋体"/>
          <w:sz w:val="24"/>
        </w:rPr>
      </w:pPr>
      <w:r>
        <w:rPr>
          <w:rFonts w:hint="eastAsia" w:ascii="宋体" w:hAnsi="宋体" w:eastAsia="宋体" w:cs="宋体"/>
          <w:sz w:val="24"/>
        </w:rPr>
        <w:t>a、中标人已按照合同规定提供了全部产品及相关资料。</w:t>
      </w:r>
    </w:p>
    <w:p>
      <w:pPr>
        <w:spacing w:line="360" w:lineRule="auto"/>
        <w:ind w:firstLine="660" w:firstLineChars="275"/>
        <w:rPr>
          <w:rFonts w:ascii="宋体" w:hAnsi="宋体" w:eastAsia="宋体" w:cs="宋体"/>
          <w:sz w:val="24"/>
        </w:rPr>
      </w:pPr>
      <w:r>
        <w:rPr>
          <w:rFonts w:hint="eastAsia" w:ascii="宋体" w:hAnsi="宋体" w:eastAsia="宋体" w:cs="宋体"/>
          <w:sz w:val="24"/>
        </w:rPr>
        <w:t>b、货物符合招标文件技术规格书的要求。</w:t>
      </w:r>
    </w:p>
    <w:p>
      <w:pPr>
        <w:spacing w:before="156" w:beforeLines="50" w:after="156" w:afterLines="50" w:line="360" w:lineRule="auto"/>
        <w:rPr>
          <w:rFonts w:ascii="宋体" w:hAnsi="宋体" w:eastAsia="宋体" w:cs="Times New Roman"/>
          <w:b/>
          <w:bCs/>
          <w:sz w:val="24"/>
        </w:rPr>
      </w:pPr>
      <w:r>
        <w:rPr>
          <w:rFonts w:hint="eastAsia" w:ascii="宋体" w:hAnsi="宋体" w:eastAsia="宋体" w:cs="Times New Roman"/>
          <w:b/>
          <w:bCs/>
          <w:sz w:val="24"/>
        </w:rPr>
        <w:t>（三）售后服务要求</w:t>
      </w:r>
    </w:p>
    <w:p>
      <w:pPr>
        <w:pStyle w:val="140"/>
        <w:shd w:val="clear" w:color="auto" w:fill="FFFFFF"/>
        <w:spacing w:line="390" w:lineRule="atLeast"/>
        <w:rPr>
          <w:rFonts w:ascii="Arial" w:hAnsi="Arial" w:cs="Arial"/>
          <w:color w:val="333333"/>
        </w:rPr>
      </w:pPr>
      <w:r>
        <w:rPr>
          <w:rStyle w:val="47"/>
          <w:rFonts w:ascii="Arial" w:hAnsi="Arial" w:cs="Arial"/>
          <w:color w:val="333333"/>
        </w:rPr>
        <w:t>印刷品</w:t>
      </w:r>
      <w:r>
        <w:rPr>
          <w:rStyle w:val="47"/>
          <w:rFonts w:hint="eastAsia" w:ascii="Arial" w:hAnsi="Arial" w:cs="Arial"/>
          <w:color w:val="333333"/>
        </w:rPr>
        <w:t>需要分批送货，投标人需要有仓库储存能力，按客户要求指定数量送到指定地点，接到送货通知后第一时间响应，不得推拖时间。分批送货</w:t>
      </w:r>
      <w:r>
        <w:rPr>
          <w:rStyle w:val="47"/>
          <w:rFonts w:ascii="Arial" w:hAnsi="Arial" w:cs="Arial"/>
          <w:color w:val="333333"/>
        </w:rPr>
        <w:t>包装要求、‌运输安全保障、‌配送区域及覆盖面、‌配送方式、‌配送运输安全保障控制、‌配送服务应急预案及处理等方面。‌</w:t>
      </w:r>
    </w:p>
    <w:p>
      <w:pPr>
        <w:pStyle w:val="140"/>
        <w:numPr>
          <w:ilvl w:val="0"/>
          <w:numId w:val="3"/>
        </w:numPr>
        <w:shd w:val="clear" w:color="auto" w:fill="FFFFFF"/>
        <w:spacing w:line="390" w:lineRule="atLeast"/>
        <w:ind w:left="420" w:firstLine="420"/>
        <w:rPr>
          <w:rFonts w:ascii="Arial" w:hAnsi="Arial" w:cs="Arial"/>
          <w:color w:val="333333"/>
        </w:rPr>
      </w:pPr>
      <w:r>
        <w:rPr>
          <w:rStyle w:val="47"/>
          <w:rFonts w:ascii="Arial" w:hAnsi="Arial" w:cs="Arial"/>
          <w:color w:val="333333"/>
        </w:rPr>
        <w:t>包装要求</w:t>
      </w:r>
      <w:r>
        <w:rPr>
          <w:rFonts w:ascii="Arial" w:hAnsi="Arial" w:cs="Arial"/>
          <w:color w:val="333333"/>
        </w:rPr>
        <w:t>：‌印刷品在分批送货，‌必须按照特定的包装要求进行包装，‌以确保印刷品在运输过程中不受损坏。‌包装应采用平直包装，应选用合适的纸箱封装</w:t>
      </w:r>
      <w:r>
        <w:rPr>
          <w:rFonts w:hint="eastAsia" w:ascii="Arial" w:hAnsi="Arial" w:cs="Arial"/>
          <w:color w:val="333333"/>
        </w:rPr>
        <w:t>。</w:t>
      </w:r>
      <w:r>
        <w:rPr>
          <w:rFonts w:ascii="Arial" w:hAnsi="Arial" w:cs="Arial"/>
          <w:color w:val="333333"/>
        </w:rPr>
        <w:t>‌</w:t>
      </w:r>
    </w:p>
    <w:p>
      <w:pPr>
        <w:pStyle w:val="140"/>
        <w:numPr>
          <w:ilvl w:val="0"/>
          <w:numId w:val="3"/>
        </w:numPr>
        <w:shd w:val="clear" w:color="auto" w:fill="FFFFFF"/>
        <w:spacing w:line="390" w:lineRule="atLeast"/>
        <w:ind w:left="420" w:firstLine="420"/>
        <w:rPr>
          <w:rFonts w:ascii="Arial" w:hAnsi="Arial" w:cs="Arial"/>
          <w:color w:val="333333"/>
        </w:rPr>
      </w:pPr>
      <w:r>
        <w:rPr>
          <w:rStyle w:val="47"/>
          <w:rFonts w:ascii="Arial" w:hAnsi="Arial" w:cs="Arial"/>
          <w:color w:val="333333"/>
        </w:rPr>
        <w:t>运输安全保障</w:t>
      </w:r>
      <w:r>
        <w:rPr>
          <w:rFonts w:ascii="Arial" w:hAnsi="Arial" w:cs="Arial"/>
          <w:color w:val="333333"/>
        </w:rPr>
        <w:t>：‌在运输过程中，‌必须采取措施确保印刷品的安全</w:t>
      </w:r>
      <w:r>
        <w:rPr>
          <w:rFonts w:hint="eastAsia" w:ascii="Arial" w:hAnsi="Arial" w:cs="Arial"/>
          <w:color w:val="333333"/>
        </w:rPr>
        <w:t>无损</w:t>
      </w:r>
      <w:r>
        <w:rPr>
          <w:rFonts w:ascii="Arial" w:hAnsi="Arial" w:cs="Arial"/>
          <w:color w:val="333333"/>
        </w:rPr>
        <w:t>。‌</w:t>
      </w:r>
    </w:p>
    <w:p>
      <w:pPr>
        <w:pStyle w:val="140"/>
        <w:numPr>
          <w:ilvl w:val="0"/>
          <w:numId w:val="3"/>
        </w:numPr>
        <w:shd w:val="clear" w:color="auto" w:fill="FFFFFF"/>
        <w:spacing w:line="390" w:lineRule="atLeast"/>
        <w:ind w:left="420" w:firstLine="420"/>
        <w:rPr>
          <w:rFonts w:ascii="Arial" w:hAnsi="Arial" w:cs="Arial"/>
          <w:color w:val="333333"/>
        </w:rPr>
      </w:pPr>
      <w:r>
        <w:rPr>
          <w:rStyle w:val="47"/>
          <w:rFonts w:ascii="Arial" w:hAnsi="Arial" w:cs="Arial"/>
          <w:color w:val="333333"/>
        </w:rPr>
        <w:t>配送区域及覆盖面</w:t>
      </w:r>
      <w:r>
        <w:rPr>
          <w:rFonts w:ascii="Arial" w:hAnsi="Arial" w:cs="Arial"/>
          <w:color w:val="333333"/>
        </w:rPr>
        <w:t>：‌根据项目包地区宣传物料的特点，‌承诺配送区域为甲方指定地点，‌确保覆盖面广泛，‌满足不同地区的需求。‌</w:t>
      </w:r>
    </w:p>
    <w:p>
      <w:pPr>
        <w:pStyle w:val="140"/>
        <w:numPr>
          <w:ilvl w:val="0"/>
          <w:numId w:val="3"/>
        </w:numPr>
        <w:shd w:val="clear" w:color="auto" w:fill="FFFFFF"/>
        <w:spacing w:line="390" w:lineRule="atLeast"/>
        <w:ind w:left="420" w:firstLine="420"/>
        <w:rPr>
          <w:rFonts w:ascii="Arial" w:hAnsi="Arial" w:cs="Arial"/>
          <w:color w:val="333333"/>
        </w:rPr>
      </w:pPr>
      <w:r>
        <w:rPr>
          <w:rStyle w:val="47"/>
          <w:rFonts w:ascii="Arial" w:hAnsi="Arial" w:cs="Arial"/>
          <w:color w:val="333333"/>
        </w:rPr>
        <w:t>配送方式</w:t>
      </w:r>
      <w:r>
        <w:rPr>
          <w:rFonts w:ascii="Arial" w:hAnsi="Arial" w:cs="Arial"/>
          <w:color w:val="333333"/>
        </w:rPr>
        <w:t>：‌以自有车辆运输为主，‌按需结合当地及覆盖区域第三方物流为辅，‌以确保宣传物料的及时安全准确配送。‌</w:t>
      </w:r>
    </w:p>
    <w:p>
      <w:pPr>
        <w:pStyle w:val="140"/>
        <w:numPr>
          <w:ilvl w:val="0"/>
          <w:numId w:val="3"/>
        </w:numPr>
        <w:shd w:val="clear" w:color="auto" w:fill="FFFFFF"/>
        <w:spacing w:line="390" w:lineRule="atLeast"/>
        <w:ind w:left="420" w:firstLine="420"/>
        <w:rPr>
          <w:rFonts w:ascii="Arial" w:hAnsi="Arial" w:cs="Arial"/>
          <w:color w:val="333333"/>
        </w:rPr>
      </w:pPr>
      <w:r>
        <w:rPr>
          <w:rStyle w:val="47"/>
          <w:rFonts w:ascii="Arial" w:hAnsi="Arial" w:cs="Arial"/>
          <w:color w:val="333333"/>
        </w:rPr>
        <w:t>配送服务应急预案及处理</w:t>
      </w:r>
      <w:r>
        <w:rPr>
          <w:rFonts w:ascii="Arial" w:hAnsi="Arial" w:cs="Arial"/>
          <w:color w:val="333333"/>
        </w:rPr>
        <w:t>：‌制定应急预案，‌包括组织保障、‌基本应急措施等，‌以应对可能出现的紧急情况，‌确保印刷品能够及时送达。‌</w:t>
      </w:r>
    </w:p>
    <w:p>
      <w:pPr>
        <w:pStyle w:val="140"/>
        <w:shd w:val="clear" w:color="auto" w:fill="FFFFFF"/>
        <w:spacing w:line="390" w:lineRule="atLeast"/>
        <w:rPr>
          <w:rFonts w:ascii="Arial" w:hAnsi="Arial" w:cs="Arial"/>
          <w:color w:val="333333"/>
        </w:rPr>
      </w:pPr>
      <w:r>
        <w:rPr>
          <w:rFonts w:ascii="Arial" w:hAnsi="Arial" w:cs="Arial"/>
          <w:color w:val="333333"/>
        </w:rPr>
        <w:t>这些要求旨在确保印刷品在分批送货过程中能够保持完整、‌安全地到达目的地</w:t>
      </w:r>
      <w:r>
        <w:rPr>
          <w:rFonts w:hint="eastAsia" w:ascii="Arial" w:hAnsi="Arial" w:cs="Arial"/>
          <w:color w:val="333333"/>
        </w:rPr>
        <w:t>。</w:t>
      </w:r>
    </w:p>
    <w:p>
      <w:pPr>
        <w:spacing w:before="156" w:beforeLines="50" w:after="156" w:afterLines="50" w:line="360" w:lineRule="auto"/>
        <w:rPr>
          <w:rFonts w:ascii="宋体" w:hAnsi="宋体" w:eastAsia="宋体" w:cs="Times New Roman"/>
          <w:b/>
          <w:bCs/>
          <w:sz w:val="24"/>
        </w:rPr>
      </w:pPr>
      <w:r>
        <w:rPr>
          <w:rFonts w:hint="eastAsia" w:ascii="宋体" w:hAnsi="宋体" w:eastAsia="宋体" w:cs="Times New Roman"/>
          <w:b/>
          <w:bCs/>
          <w:sz w:val="24"/>
        </w:rPr>
        <w:t>（四）服务期限</w:t>
      </w:r>
    </w:p>
    <w:p>
      <w:pPr>
        <w:pStyle w:val="10"/>
        <w:ind w:firstLine="482" w:firstLineChars="200"/>
      </w:pPr>
      <w:r>
        <w:rPr>
          <w:rFonts w:hint="eastAsia" w:ascii="宋体" w:hAnsi="宋体" w:cs="宋体"/>
        </w:rPr>
        <w:t>本项目合同期一年，自合同签订之日起。</w:t>
      </w:r>
      <w:r>
        <w:t xml:space="preserve"> </w:t>
      </w:r>
    </w:p>
    <w:p>
      <w:pPr>
        <w:spacing w:before="156" w:beforeLines="50" w:after="156" w:afterLines="50" w:line="360" w:lineRule="auto"/>
        <w:rPr>
          <w:rFonts w:ascii="宋体" w:hAnsi="宋体" w:eastAsia="宋体" w:cs="Times New Roman"/>
          <w:b/>
          <w:bCs/>
          <w:sz w:val="24"/>
        </w:rPr>
      </w:pPr>
      <w:r>
        <w:rPr>
          <w:rFonts w:hint="eastAsia" w:ascii="宋体" w:hAnsi="宋体" w:eastAsia="宋体" w:cs="Times New Roman"/>
          <w:b/>
          <w:bCs/>
          <w:sz w:val="24"/>
        </w:rPr>
        <w:t>（五）付款方式</w:t>
      </w:r>
    </w:p>
    <w:p>
      <w:pPr>
        <w:spacing w:line="360" w:lineRule="auto"/>
        <w:ind w:firstLine="420" w:firstLineChars="175"/>
        <w:rPr>
          <w:rFonts w:ascii="宋体" w:hAnsi="宋体" w:eastAsia="宋体" w:cs="宋体"/>
          <w:sz w:val="24"/>
        </w:rPr>
      </w:pPr>
      <w:r>
        <w:rPr>
          <w:rFonts w:hint="eastAsia" w:ascii="宋体" w:hAnsi="宋体" w:eastAsia="宋体" w:cs="宋体"/>
          <w:sz w:val="24"/>
        </w:rPr>
        <w:t>本项目付款方式具体如下：</w:t>
      </w:r>
    </w:p>
    <w:p>
      <w:pPr>
        <w:numPr>
          <w:ilvl w:val="0"/>
          <w:numId w:val="4"/>
        </w:numPr>
        <w:spacing w:line="360" w:lineRule="auto"/>
        <w:ind w:firstLine="480" w:firstLineChars="200"/>
        <w:rPr>
          <w:rFonts w:ascii="宋体" w:hAnsi="宋体" w:eastAsia="宋体" w:cs="宋体"/>
          <w:sz w:val="24"/>
        </w:rPr>
      </w:pPr>
      <w:r>
        <w:rPr>
          <w:rFonts w:hint="eastAsia" w:ascii="宋体" w:hAnsi="宋体" w:eastAsia="宋体" w:cs="宋体"/>
          <w:sz w:val="24"/>
        </w:rPr>
        <w:t>本项目签订合同后，中标方向招标方指定账户支付3%质保金。</w:t>
      </w:r>
    </w:p>
    <w:p>
      <w:pPr>
        <w:pStyle w:val="10"/>
        <w:rPr>
          <w:b w:val="0"/>
        </w:rPr>
      </w:pPr>
      <w:r>
        <w:rPr>
          <w:rFonts w:hint="eastAsia" w:ascii="宋体" w:hAnsi="宋体" w:cs="宋体"/>
          <w:b w:val="0"/>
        </w:rPr>
        <w:t xml:space="preserve">    2、本项目签订合同后，招标方向中标方指定帐户支付30%预付款。</w:t>
      </w:r>
    </w:p>
    <w:p>
      <w:pPr>
        <w:spacing w:line="360" w:lineRule="auto"/>
        <w:ind w:firstLine="480" w:firstLineChars="200"/>
        <w:rPr>
          <w:rFonts w:ascii="宋体" w:hAnsi="宋体" w:eastAsia="宋体" w:cs="宋体"/>
          <w:sz w:val="24"/>
        </w:rPr>
      </w:pPr>
      <w:r>
        <w:rPr>
          <w:rFonts w:hint="eastAsia" w:ascii="宋体" w:hAnsi="宋体" w:eastAsia="宋体" w:cs="宋体"/>
          <w:sz w:val="24"/>
        </w:rPr>
        <w:t>3、中标方将货物配送至招标方指定地点，并且安装调试完毕，经招标方相关负责人验收签字后，中标方提供发票交付招标方支付剩余货款70%。一切费用均以人民币结算及支付，支付形式统一为转账支付，不接受现金交易。质保期过后，中标方向招标方提交退回质保金申请等相关材料，招标方退还中标方质保金。</w:t>
      </w:r>
    </w:p>
    <w:p>
      <w:pPr>
        <w:spacing w:before="156" w:beforeLines="50" w:after="156" w:afterLines="50" w:line="360" w:lineRule="auto"/>
        <w:rPr>
          <w:rFonts w:ascii="宋体" w:hAnsi="宋体" w:eastAsia="宋体" w:cs="Times New Roman"/>
          <w:b/>
          <w:bCs/>
          <w:sz w:val="24"/>
        </w:rPr>
      </w:pPr>
      <w:r>
        <w:rPr>
          <w:rFonts w:hint="eastAsia" w:ascii="宋体" w:hAnsi="宋体" w:eastAsia="宋体" w:cs="Times New Roman"/>
          <w:b/>
          <w:bCs/>
          <w:sz w:val="24"/>
        </w:rPr>
        <w:t>（六）报价要求</w:t>
      </w:r>
    </w:p>
    <w:p>
      <w:pPr>
        <w:spacing w:line="360" w:lineRule="auto"/>
        <w:ind w:firstLine="480" w:firstLineChars="200"/>
        <w:rPr>
          <w:rFonts w:ascii="宋体" w:hAnsi="宋体" w:eastAsia="宋体" w:cs="宋体"/>
          <w:sz w:val="24"/>
        </w:rPr>
      </w:pPr>
      <w:r>
        <w:rPr>
          <w:rFonts w:hint="eastAsia" w:ascii="宋体" w:hAnsi="宋体" w:eastAsia="宋体" w:cs="宋体"/>
          <w:sz w:val="24"/>
        </w:rPr>
        <w:t>1、详见产品采购清单</w:t>
      </w:r>
    </w:p>
    <w:p>
      <w:pPr>
        <w:pStyle w:val="2"/>
        <w:spacing w:line="360" w:lineRule="auto"/>
        <w:ind w:firstLine="480" w:firstLineChars="200"/>
        <w:rPr>
          <w:rFonts w:hAnsi="宋体" w:cs="宋体"/>
          <w:sz w:val="24"/>
          <w:szCs w:val="24"/>
        </w:rPr>
      </w:pPr>
      <w:r>
        <w:rPr>
          <w:rFonts w:hint="eastAsia" w:hAnsi="宋体" w:cs="宋体"/>
          <w:sz w:val="24"/>
          <w:szCs w:val="24"/>
        </w:rPr>
        <w:t>2、报价为单价，投标单价为拟提供的完成本项目全部服务工作的每项货物单价，以人民币为报价货币。报价包括产品成本、运输费用及税金等一切相关费用。</w:t>
      </w:r>
    </w:p>
    <w:p>
      <w:pPr>
        <w:pStyle w:val="2"/>
        <w:spacing w:line="360" w:lineRule="auto"/>
        <w:ind w:firstLine="480" w:firstLineChars="200"/>
        <w:rPr>
          <w:rFonts w:hAnsi="宋体" w:cs="宋体"/>
          <w:sz w:val="24"/>
          <w:szCs w:val="24"/>
          <w:lang w:val="zh-CN"/>
        </w:rPr>
      </w:pPr>
      <w:r>
        <w:rPr>
          <w:rFonts w:hint="eastAsia" w:hAnsi="宋体" w:cs="宋体"/>
          <w:sz w:val="24"/>
          <w:szCs w:val="24"/>
        </w:rPr>
        <w:t>3、投标人应根据本企业的成本自行决定报价。评标小组会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评标委员会将其作为无效投标处理。</w:t>
      </w:r>
    </w:p>
    <w:p>
      <w:pPr>
        <w:spacing w:before="156" w:beforeLines="50" w:after="156" w:afterLines="50" w:line="360" w:lineRule="auto"/>
        <w:rPr>
          <w:rFonts w:ascii="宋体" w:hAnsi="宋体" w:eastAsia="宋体" w:cs="Times New Roman"/>
          <w:b/>
          <w:bCs/>
          <w:sz w:val="24"/>
        </w:rPr>
      </w:pPr>
      <w:r>
        <w:rPr>
          <w:rFonts w:hint="eastAsia" w:ascii="宋体" w:hAnsi="宋体" w:eastAsia="宋体" w:cs="Times New Roman"/>
          <w:b/>
          <w:bCs/>
          <w:sz w:val="24"/>
        </w:rPr>
        <w:t>（七）其他</w:t>
      </w:r>
    </w:p>
    <w:p>
      <w:pPr>
        <w:pStyle w:val="9"/>
        <w:spacing w:line="360" w:lineRule="auto"/>
        <w:ind w:firstLine="480" w:firstLineChars="200"/>
        <w:rPr>
          <w:rFonts w:ascii="宋体" w:hAnsi="宋体" w:cs="宋体"/>
          <w:sz w:val="24"/>
          <w:szCs w:val="24"/>
        </w:rPr>
      </w:pPr>
      <w:r>
        <w:rPr>
          <w:rFonts w:hint="eastAsia" w:ascii="宋体" w:hAnsi="宋体" w:cs="宋体"/>
          <w:sz w:val="24"/>
          <w:szCs w:val="24"/>
        </w:rPr>
        <w:t>1、此次招标项目为货物招标，具体结算以招标清单为准。</w:t>
      </w:r>
    </w:p>
    <w:p>
      <w:pPr>
        <w:widowControl/>
        <w:snapToGrid w:val="0"/>
        <w:spacing w:line="360" w:lineRule="auto"/>
        <w:ind w:firstLine="480" w:firstLineChars="200"/>
        <w:rPr>
          <w:rFonts w:ascii="宋体" w:hAnsi="宋体" w:eastAsia="宋体" w:cs="宋体"/>
          <w:sz w:val="24"/>
        </w:rPr>
      </w:pPr>
      <w:r>
        <w:rPr>
          <w:rFonts w:hint="eastAsia" w:ascii="宋体" w:hAnsi="宋体" w:eastAsia="宋体" w:cs="宋体"/>
          <w:sz w:val="24"/>
        </w:rPr>
        <w:t>2、投标人在投标报价时必须充分考虑到工资标准调整、物价上涨等因素，并承担相应的风险。</w:t>
      </w:r>
    </w:p>
    <w:p>
      <w:pPr>
        <w:rPr>
          <w:b/>
          <w:sz w:val="32"/>
          <w:szCs w:val="32"/>
        </w:rPr>
      </w:pPr>
      <w:r>
        <w:rPr>
          <w:rFonts w:hint="eastAsia" w:ascii="宋体" w:hAnsi="宋体" w:eastAsia="宋体" w:cs="宋体"/>
        </w:rPr>
        <w:br w:type="page"/>
      </w:r>
    </w:p>
    <w:p/>
    <w:p>
      <w:pPr>
        <w:jc w:val="left"/>
        <w:rPr>
          <w:b/>
          <w:sz w:val="32"/>
          <w:szCs w:val="32"/>
        </w:rPr>
      </w:pPr>
      <w:r>
        <w:rPr>
          <w:rFonts w:hint="eastAsia"/>
          <w:b/>
          <w:sz w:val="32"/>
          <w:szCs w:val="32"/>
        </w:rPr>
        <w:t>五、</w:t>
      </w:r>
      <w:r>
        <w:rPr>
          <w:rFonts w:hint="eastAsia"/>
          <w:b/>
          <w:sz w:val="32"/>
          <w:szCs w:val="32"/>
          <w:highlight w:val="none"/>
        </w:rPr>
        <w:t>政策导向</w:t>
      </w:r>
    </w:p>
    <w:p>
      <w:pPr>
        <w:spacing w:line="360" w:lineRule="auto"/>
        <w:ind w:firstLine="440" w:firstLineChars="200"/>
        <w:rPr>
          <w:rFonts w:ascii="宋体" w:hAnsi="宋体" w:cs="宋体"/>
          <w:sz w:val="22"/>
        </w:rPr>
      </w:pPr>
      <w:r>
        <w:rPr>
          <w:rFonts w:hint="eastAsia" w:ascii="宋体" w:hAnsi="宋体" w:cs="宋体"/>
          <w:sz w:val="22"/>
        </w:rPr>
        <w:t>（1）投标人提供的货物全部均由优惠主体制造，则对其投标总价给予</w:t>
      </w:r>
      <w:r>
        <w:rPr>
          <w:rFonts w:hint="eastAsia" w:ascii="宋体" w:hAnsi="宋体" w:cs="宋体"/>
          <w:b/>
          <w:bCs/>
          <w:sz w:val="22"/>
          <w:u w:val="single"/>
        </w:rPr>
        <w:t xml:space="preserve"> 10 %</w:t>
      </w:r>
      <w:r>
        <w:rPr>
          <w:rFonts w:hint="eastAsia" w:ascii="宋体" w:hAnsi="宋体" w:cs="宋体"/>
          <w:sz w:val="22"/>
        </w:rPr>
        <w:t>的扣除，用扣除后的价格参与评审。满足多项优惠政策的企业，不重复享受多项价格扣除政策。</w:t>
      </w:r>
    </w:p>
    <w:p>
      <w:pPr>
        <w:spacing w:line="360" w:lineRule="auto"/>
        <w:ind w:firstLine="440" w:firstLineChars="200"/>
        <w:rPr>
          <w:rFonts w:ascii="宋体" w:hAnsi="宋体" w:cs="宋体"/>
          <w:sz w:val="22"/>
        </w:rPr>
      </w:pPr>
      <w:r>
        <w:rPr>
          <w:rFonts w:hint="eastAsia" w:ascii="宋体" w:hAnsi="宋体" w:cs="宋体"/>
          <w:sz w:val="22"/>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制造是指货物由优惠主体生产且使用该优惠主体商号或者注册商标；投标人提供的货物既有优惠主体制造货物，又有非优惠主体制造货物的，不给予价格扣除。</w:t>
      </w:r>
    </w:p>
    <w:p>
      <w:pPr>
        <w:pStyle w:val="2"/>
      </w:pPr>
    </w:p>
    <w:p>
      <w:pPr>
        <w:spacing w:line="360" w:lineRule="auto"/>
        <w:ind w:firstLine="440" w:firstLineChars="200"/>
        <w:rPr>
          <w:rFonts w:ascii="宋体" w:hAnsi="宋体" w:cs="宋体"/>
          <w:sz w:val="22"/>
        </w:rPr>
      </w:pPr>
      <w:r>
        <w:rPr>
          <w:rFonts w:hint="eastAsia" w:ascii="宋体" w:hAnsi="宋体" w:cs="宋体"/>
          <w:sz w:val="22"/>
        </w:rPr>
        <w:t>（2）根据《工业和信息化部、国家统计局、国家发展和改革委员会、财政部关于印发中小企业划型标准规定的通知》（工信部联企业〔2011〕300 号），本项目采购标的（货物）对应的中小企业划分标准所属行业为</w:t>
      </w:r>
      <w:r>
        <w:rPr>
          <w:rFonts w:hint="eastAsia" w:ascii="宋体" w:hAnsi="宋体" w:cs="宋体"/>
          <w:sz w:val="22"/>
          <w:u w:val="single"/>
        </w:rPr>
        <w:t xml:space="preserve">  </w:t>
      </w:r>
      <w:r>
        <w:rPr>
          <w:rFonts w:hint="eastAsia" w:ascii="宋体" w:hAnsi="宋体" w:cs="宋体"/>
          <w:sz w:val="22"/>
          <w:highlight w:val="lightGray"/>
          <w:u w:val="single"/>
        </w:rPr>
        <w:t xml:space="preserve">工业   </w:t>
      </w:r>
      <w:r>
        <w:rPr>
          <w:rFonts w:hint="eastAsia" w:ascii="宋体" w:hAnsi="宋体" w:cs="宋体"/>
          <w:sz w:val="22"/>
        </w:rPr>
        <w:t>。</w:t>
      </w:r>
    </w:p>
    <w:p>
      <w:pPr>
        <w:spacing w:line="360" w:lineRule="auto"/>
        <w:ind w:firstLine="440" w:firstLineChars="200"/>
        <w:rPr>
          <w:rFonts w:ascii="宋体" w:hAnsi="宋体" w:cs="宋体"/>
          <w:sz w:val="22"/>
        </w:rPr>
      </w:pPr>
      <w:r>
        <w:rPr>
          <w:rFonts w:hint="eastAsia" w:ascii="宋体" w:hAnsi="宋体" w:cs="宋体"/>
          <w:sz w:val="22"/>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中小企业、残疾人福利性单位和监狱企业政策导向”章节提供的格式）。</w:t>
      </w:r>
    </w:p>
    <w:p>
      <w:pPr>
        <w:spacing w:line="360" w:lineRule="auto"/>
        <w:ind w:firstLine="440" w:firstLineChars="200"/>
        <w:rPr>
          <w:sz w:val="22"/>
        </w:rPr>
      </w:pPr>
      <w:r>
        <w:rPr>
          <w:rFonts w:hint="eastAsia" w:ascii="宋体" w:hAnsi="宋体" w:cs="宋体"/>
          <w:sz w:val="22"/>
        </w:rPr>
        <w:t>（4）享受价格扣除获得政府采购合同的，小微企业不得将合同分包给大中型企业。</w:t>
      </w:r>
    </w:p>
    <w:p>
      <w:pPr>
        <w:ind w:firstLine="440" w:firstLineChars="200"/>
        <w:rPr>
          <w:rFonts w:ascii="宋体" w:hAnsi="宋体" w:cs="宋体"/>
          <w:sz w:val="22"/>
          <w:highlight w:val="green"/>
        </w:rPr>
      </w:pPr>
    </w:p>
    <w:p>
      <w:r>
        <w:br w:type="page"/>
      </w:r>
    </w:p>
    <w:p/>
    <w:p>
      <w:pPr>
        <w:pStyle w:val="5"/>
        <w:rPr>
          <w:sz w:val="32"/>
        </w:rPr>
      </w:pPr>
      <w:bookmarkStart w:id="28" w:name="bt附件"/>
      <w:bookmarkEnd w:id="28"/>
      <w:bookmarkStart w:id="29" w:name="bt投标书"/>
      <w:bookmarkEnd w:id="29"/>
      <w:r>
        <w:rPr>
          <w:rFonts w:hint="eastAsia"/>
          <w:bCs/>
          <w:kern w:val="28"/>
          <w:sz w:val="40"/>
          <w:szCs w:val="40"/>
        </w:rPr>
        <w:t>第二章 投标</w:t>
      </w:r>
      <w:r>
        <w:rPr>
          <w:bCs/>
          <w:kern w:val="28"/>
          <w:sz w:val="40"/>
          <w:szCs w:val="40"/>
        </w:rPr>
        <w:t>文件格式</w:t>
      </w:r>
      <w:r>
        <w:rPr>
          <w:sz w:val="32"/>
        </w:rPr>
        <w:br w:type="page"/>
      </w:r>
    </w:p>
    <w:p>
      <w:pPr>
        <w:pStyle w:val="5"/>
        <w:rPr>
          <w:bCs/>
          <w:kern w:val="28"/>
          <w:sz w:val="44"/>
          <w:szCs w:val="44"/>
        </w:rPr>
      </w:pPr>
      <w:r>
        <w:rPr>
          <w:rFonts w:hint="eastAsia"/>
          <w:bCs/>
          <w:sz w:val="32"/>
          <w:szCs w:val="32"/>
        </w:rPr>
        <w:t>附件1：开标文件</w:t>
      </w:r>
    </w:p>
    <w:p>
      <w:pPr>
        <w:widowControl/>
        <w:spacing w:after="160" w:line="240" w:lineRule="exact"/>
        <w:jc w:val="left"/>
        <w:rPr>
          <w:rFonts w:eastAsia="仿宋_GB2312"/>
          <w:kern w:val="0"/>
          <w:sz w:val="24"/>
          <w:szCs w:val="20"/>
        </w:rPr>
      </w:pPr>
    </w:p>
    <w:p>
      <w:pPr>
        <w:pStyle w:val="60"/>
        <w:rPr>
          <w:rFonts w:ascii="Times New Roman" w:hAnsi="Times New Roman"/>
          <w:lang w:eastAsia="zh-CN"/>
        </w:rPr>
      </w:pPr>
    </w:p>
    <w:p>
      <w:pPr>
        <w:pStyle w:val="60"/>
        <w:rPr>
          <w:rFonts w:ascii="Times New Roman" w:hAnsi="Times New Roman"/>
          <w:lang w:eastAsia="zh-CN"/>
        </w:rPr>
      </w:pPr>
    </w:p>
    <w:p>
      <w:pPr>
        <w:jc w:val="center"/>
        <w:rPr>
          <w:sz w:val="44"/>
          <w:szCs w:val="44"/>
        </w:rPr>
      </w:pPr>
      <w:r>
        <w:rPr>
          <w:rFonts w:hint="eastAsia"/>
          <w:sz w:val="44"/>
          <w:szCs w:val="44"/>
        </w:rPr>
        <w:t>深圳市第二人民医院脊柱健康科普资料宣传折页印刷项目</w:t>
      </w:r>
    </w:p>
    <w:p>
      <w:pPr>
        <w:jc w:val="center"/>
        <w:rPr>
          <w:sz w:val="44"/>
          <w:szCs w:val="44"/>
        </w:rPr>
      </w:pPr>
      <w:r>
        <w:rPr>
          <w:sz w:val="44"/>
          <w:szCs w:val="44"/>
        </w:rPr>
        <w:t>（唱标信封）</w:t>
      </w:r>
    </w:p>
    <w:p>
      <w:pPr>
        <w:jc w:val="center"/>
        <w:rPr>
          <w:sz w:val="44"/>
          <w:szCs w:val="44"/>
        </w:rPr>
      </w:pPr>
    </w:p>
    <w:p>
      <w:pPr>
        <w:jc w:val="center"/>
        <w:rPr>
          <w:sz w:val="44"/>
          <w:szCs w:val="44"/>
        </w:rPr>
      </w:pPr>
    </w:p>
    <w:p>
      <w:pPr>
        <w:jc w:val="center"/>
        <w:rPr>
          <w:sz w:val="44"/>
          <w:szCs w:val="44"/>
        </w:rPr>
      </w:pPr>
    </w:p>
    <w:p>
      <w:pPr>
        <w:jc w:val="center"/>
        <w:rPr>
          <w:sz w:val="44"/>
          <w:szCs w:val="44"/>
        </w:rPr>
      </w:pPr>
    </w:p>
    <w:p>
      <w:pPr>
        <w:rPr>
          <w:sz w:val="44"/>
          <w:szCs w:val="44"/>
        </w:rPr>
      </w:pPr>
    </w:p>
    <w:p>
      <w:pPr>
        <w:pStyle w:val="43"/>
        <w:ind w:firstLine="880"/>
        <w:rPr>
          <w:sz w:val="44"/>
          <w:szCs w:val="44"/>
        </w:rPr>
      </w:pPr>
    </w:p>
    <w:p>
      <w:pPr>
        <w:pStyle w:val="43"/>
        <w:ind w:firstLine="880"/>
        <w:rPr>
          <w:sz w:val="44"/>
          <w:szCs w:val="44"/>
        </w:rPr>
      </w:pPr>
    </w:p>
    <w:p>
      <w:pPr>
        <w:spacing w:line="480" w:lineRule="auto"/>
        <w:ind w:firstLine="1260" w:firstLineChars="450"/>
        <w:rPr>
          <w:sz w:val="28"/>
          <w:szCs w:val="28"/>
          <w:u w:val="single"/>
        </w:rPr>
      </w:pPr>
      <w:r>
        <w:rPr>
          <w:sz w:val="28"/>
          <w:szCs w:val="28"/>
        </w:rPr>
        <w:t>项目编号：_____________________________</w:t>
      </w:r>
    </w:p>
    <w:p>
      <w:pPr>
        <w:spacing w:line="480" w:lineRule="auto"/>
        <w:ind w:firstLine="1260" w:firstLineChars="450"/>
        <w:rPr>
          <w:sz w:val="28"/>
          <w:szCs w:val="28"/>
          <w:u w:val="single"/>
        </w:rPr>
      </w:pPr>
      <w:r>
        <w:rPr>
          <w:sz w:val="28"/>
          <w:szCs w:val="28"/>
        </w:rPr>
        <w:t>供应商（盖章）：___________________________</w:t>
      </w:r>
    </w:p>
    <w:p>
      <w:pPr>
        <w:spacing w:line="480" w:lineRule="auto"/>
        <w:ind w:firstLine="1260" w:firstLineChars="450"/>
        <w:rPr>
          <w:sz w:val="28"/>
          <w:szCs w:val="28"/>
        </w:rPr>
      </w:pPr>
      <w:r>
        <w:rPr>
          <w:sz w:val="28"/>
          <w:szCs w:val="28"/>
        </w:rPr>
        <w:t>法定代表人或授权委托人签字：__________________</w:t>
      </w:r>
    </w:p>
    <w:p>
      <w:pPr>
        <w:spacing w:line="360" w:lineRule="auto"/>
        <w:ind w:firstLine="1260" w:firstLineChars="450"/>
        <w:rPr>
          <w:sz w:val="28"/>
          <w:szCs w:val="28"/>
        </w:rPr>
      </w:pPr>
      <w:r>
        <w:rPr>
          <w:sz w:val="28"/>
          <w:szCs w:val="28"/>
        </w:rPr>
        <w:t>投标日期：____________年_____月______日</w:t>
      </w:r>
    </w:p>
    <w:p>
      <w:pPr>
        <w:spacing w:line="360" w:lineRule="auto"/>
        <w:ind w:firstLine="1400" w:firstLineChars="500"/>
        <w:rPr>
          <w:sz w:val="28"/>
          <w:szCs w:val="28"/>
        </w:rPr>
      </w:pPr>
    </w:p>
    <w:p>
      <w:pPr>
        <w:spacing w:line="360" w:lineRule="auto"/>
        <w:ind w:firstLine="1400" w:firstLineChars="500"/>
        <w:rPr>
          <w:sz w:val="28"/>
          <w:szCs w:val="28"/>
        </w:rPr>
      </w:pPr>
    </w:p>
    <w:p>
      <w:pPr>
        <w:spacing w:line="360" w:lineRule="auto"/>
        <w:ind w:firstLine="1400" w:firstLineChars="500"/>
        <w:rPr>
          <w:sz w:val="28"/>
          <w:szCs w:val="28"/>
        </w:rPr>
      </w:pPr>
    </w:p>
    <w:p>
      <w:pPr>
        <w:pStyle w:val="6"/>
        <w:spacing w:before="120" w:after="120"/>
        <w:jc w:val="center"/>
        <w:rPr>
          <w:bCs w:val="0"/>
          <w:snapToGrid w:val="0"/>
          <w:sz w:val="18"/>
          <w:szCs w:val="18"/>
        </w:rPr>
      </w:pPr>
      <w:r>
        <w:br w:type="page"/>
      </w:r>
      <w:r>
        <w:rPr>
          <w:b w:val="0"/>
          <w:bCs w:val="0"/>
          <w:szCs w:val="28"/>
        </w:rPr>
        <w:t>一、</w:t>
      </w:r>
      <w:r>
        <w:rPr>
          <w:rFonts w:hint="eastAsia" w:ascii="宋体" w:hAnsi="宋体" w:cs="宋体"/>
        </w:rPr>
        <w:t>开标一览表</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3083"/>
        <w:gridCol w:w="3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029" w:type="pct"/>
            <w:vAlign w:val="center"/>
          </w:tcPr>
          <w:p>
            <w:pPr>
              <w:spacing w:line="360" w:lineRule="exact"/>
              <w:jc w:val="center"/>
              <w:rPr>
                <w:snapToGrid w:val="0"/>
                <w:kern w:val="0"/>
                <w:sz w:val="22"/>
              </w:rPr>
            </w:pPr>
            <w:r>
              <w:rPr>
                <w:bCs/>
                <w:snapToGrid w:val="0"/>
                <w:kern w:val="0"/>
                <w:sz w:val="22"/>
              </w:rPr>
              <w:t>项目编号</w:t>
            </w:r>
          </w:p>
        </w:tc>
        <w:tc>
          <w:tcPr>
            <w:tcW w:w="1809" w:type="pct"/>
            <w:vAlign w:val="center"/>
          </w:tcPr>
          <w:p>
            <w:pPr>
              <w:spacing w:line="360" w:lineRule="exact"/>
              <w:jc w:val="center"/>
              <w:rPr>
                <w:snapToGrid w:val="0"/>
                <w:kern w:val="0"/>
                <w:sz w:val="22"/>
              </w:rPr>
            </w:pPr>
            <w:r>
              <w:rPr>
                <w:snapToGrid w:val="0"/>
                <w:kern w:val="0"/>
                <w:sz w:val="22"/>
              </w:rPr>
              <w:t>项目名称</w:t>
            </w:r>
          </w:p>
        </w:tc>
        <w:tc>
          <w:tcPr>
            <w:tcW w:w="2160" w:type="pct"/>
            <w:vAlign w:val="center"/>
          </w:tcPr>
          <w:p>
            <w:pPr>
              <w:spacing w:line="360" w:lineRule="exact"/>
              <w:jc w:val="center"/>
              <w:rPr>
                <w:snapToGrid w:val="0"/>
                <w:kern w:val="0"/>
                <w:sz w:val="22"/>
              </w:rPr>
            </w:pPr>
            <w:r>
              <w:rPr>
                <w:snapToGrid w:val="0"/>
                <w:kern w:val="0"/>
                <w:sz w:val="22"/>
              </w:rPr>
              <w:t>投标报价（元）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029" w:type="pct"/>
            <w:vAlign w:val="center"/>
          </w:tcPr>
          <w:p>
            <w:pPr>
              <w:spacing w:line="360" w:lineRule="exact"/>
              <w:jc w:val="center"/>
              <w:rPr>
                <w:snapToGrid w:val="0"/>
                <w:kern w:val="0"/>
                <w:sz w:val="22"/>
              </w:rPr>
            </w:pPr>
          </w:p>
        </w:tc>
        <w:tc>
          <w:tcPr>
            <w:tcW w:w="1809" w:type="pct"/>
            <w:vAlign w:val="center"/>
          </w:tcPr>
          <w:p>
            <w:pPr>
              <w:widowControl/>
              <w:spacing w:line="360" w:lineRule="exact"/>
              <w:jc w:val="center"/>
              <w:rPr>
                <w:kern w:val="0"/>
                <w:sz w:val="22"/>
              </w:rPr>
            </w:pPr>
          </w:p>
        </w:tc>
        <w:tc>
          <w:tcPr>
            <w:tcW w:w="2160" w:type="pct"/>
            <w:vAlign w:val="center"/>
          </w:tcPr>
          <w:p>
            <w:pPr>
              <w:spacing w:line="360" w:lineRule="exact"/>
              <w:rPr>
                <w:snapToGrid w:val="0"/>
                <w:kern w:val="0"/>
                <w:sz w:val="22"/>
              </w:rPr>
            </w:pPr>
            <w:r>
              <w:rPr>
                <w:snapToGrid w:val="0"/>
                <w:kern w:val="0"/>
                <w:sz w:val="22"/>
              </w:rPr>
              <w:t>大写：</w:t>
            </w:r>
          </w:p>
          <w:p>
            <w:pPr>
              <w:spacing w:line="360" w:lineRule="exact"/>
              <w:rPr>
                <w:snapToGrid w:val="0"/>
                <w:kern w:val="0"/>
                <w:sz w:val="22"/>
              </w:rPr>
            </w:pPr>
            <w:r>
              <w:rPr>
                <w:snapToGrid w:val="0"/>
                <w:kern w:val="0"/>
                <w:sz w:val="22"/>
              </w:rPr>
              <w:t>小写：</w:t>
            </w:r>
          </w:p>
        </w:tc>
      </w:tr>
    </w:tbl>
    <w:p>
      <w:pPr>
        <w:spacing w:line="360" w:lineRule="exact"/>
        <w:rPr>
          <w:snapToGrid w:val="0"/>
          <w:kern w:val="0"/>
          <w:sz w:val="22"/>
        </w:rPr>
      </w:pPr>
    </w:p>
    <w:p>
      <w:pPr>
        <w:spacing w:line="360" w:lineRule="exact"/>
        <w:rPr>
          <w:snapToGrid w:val="0"/>
          <w:kern w:val="0"/>
          <w:sz w:val="22"/>
        </w:rPr>
      </w:pPr>
      <w:r>
        <w:rPr>
          <w:snapToGrid w:val="0"/>
          <w:kern w:val="0"/>
          <w:sz w:val="22"/>
        </w:rPr>
        <w:t>注：此表应与</w:t>
      </w:r>
      <w:r>
        <w:rPr>
          <w:rFonts w:hint="eastAsia"/>
          <w:snapToGrid w:val="0"/>
          <w:kern w:val="0"/>
          <w:sz w:val="22"/>
        </w:rPr>
        <w:t>法定代表人证明书、法定代表人授权书</w:t>
      </w:r>
      <w:r>
        <w:rPr>
          <w:snapToGrid w:val="0"/>
          <w:kern w:val="0"/>
          <w:sz w:val="22"/>
        </w:rPr>
        <w:t>一同密封单独提交。</w:t>
      </w:r>
    </w:p>
    <w:p>
      <w:pPr>
        <w:spacing w:line="360" w:lineRule="exact"/>
        <w:ind w:right="2100" w:rightChars="1000"/>
        <w:jc w:val="right"/>
        <w:rPr>
          <w:snapToGrid w:val="0"/>
          <w:kern w:val="0"/>
          <w:sz w:val="22"/>
        </w:rPr>
      </w:pPr>
    </w:p>
    <w:p>
      <w:pPr>
        <w:spacing w:line="360" w:lineRule="exact"/>
        <w:ind w:right="2100" w:rightChars="1000"/>
        <w:jc w:val="left"/>
        <w:rPr>
          <w:rFonts w:ascii="宋体" w:hAnsi="宋体" w:cs="宋体"/>
          <w:snapToGrid w:val="0"/>
          <w:kern w:val="0"/>
          <w:sz w:val="22"/>
          <w:szCs w:val="24"/>
        </w:rPr>
      </w:pPr>
      <w:r>
        <w:rPr>
          <w:rFonts w:hint="eastAsia" w:ascii="宋体" w:hAnsi="宋体" w:cs="宋体"/>
          <w:snapToGrid w:val="0"/>
          <w:kern w:val="0"/>
          <w:sz w:val="22"/>
          <w:szCs w:val="24"/>
          <w:lang w:val="zh-CN"/>
        </w:rPr>
        <w:t>法定代表人（</w:t>
      </w:r>
      <w:r>
        <w:rPr>
          <w:rFonts w:hint="eastAsia" w:ascii="宋体" w:hAnsi="宋体" w:cs="宋体"/>
          <w:snapToGrid w:val="0"/>
          <w:kern w:val="0"/>
          <w:sz w:val="22"/>
          <w:szCs w:val="24"/>
        </w:rPr>
        <w:t>单位负责人</w:t>
      </w:r>
      <w:r>
        <w:rPr>
          <w:rFonts w:hint="eastAsia" w:ascii="宋体" w:hAnsi="宋体" w:cs="宋体"/>
          <w:snapToGrid w:val="0"/>
          <w:kern w:val="0"/>
          <w:sz w:val="22"/>
          <w:szCs w:val="24"/>
          <w:lang w:val="zh-CN"/>
        </w:rPr>
        <w:t>）或其授权代表（签字</w:t>
      </w:r>
      <w:r>
        <w:rPr>
          <w:rFonts w:hint="eastAsia" w:ascii="宋体" w:hAnsi="宋体" w:cs="宋体"/>
          <w:snapToGrid w:val="0"/>
          <w:kern w:val="0"/>
          <w:sz w:val="22"/>
          <w:szCs w:val="24"/>
        </w:rPr>
        <w:t>或盖章</w:t>
      </w:r>
      <w:r>
        <w:rPr>
          <w:rFonts w:hint="eastAsia" w:ascii="宋体" w:hAnsi="宋体" w:cs="宋体"/>
          <w:snapToGrid w:val="0"/>
          <w:kern w:val="0"/>
          <w:sz w:val="22"/>
          <w:szCs w:val="24"/>
          <w:lang w:val="zh-CN"/>
        </w:rPr>
        <w:t>）</w:t>
      </w:r>
      <w:r>
        <w:rPr>
          <w:rFonts w:hint="eastAsia" w:ascii="宋体" w:hAnsi="宋体" w:cs="宋体"/>
          <w:snapToGrid w:val="0"/>
          <w:kern w:val="0"/>
          <w:sz w:val="22"/>
          <w:szCs w:val="24"/>
        </w:rPr>
        <w:t xml:space="preserve">：                   </w:t>
      </w:r>
    </w:p>
    <w:p>
      <w:pPr>
        <w:spacing w:line="360" w:lineRule="exact"/>
        <w:ind w:right="2100" w:rightChars="1000"/>
        <w:jc w:val="left"/>
        <w:rPr>
          <w:rFonts w:ascii="宋体" w:hAnsi="宋体" w:cs="宋体"/>
          <w:snapToGrid w:val="0"/>
          <w:kern w:val="0"/>
          <w:sz w:val="22"/>
          <w:szCs w:val="24"/>
        </w:rPr>
      </w:pPr>
      <w:r>
        <w:rPr>
          <w:rFonts w:hint="eastAsia" w:ascii="宋体" w:hAnsi="宋体" w:cs="宋体"/>
          <w:snapToGrid w:val="0"/>
          <w:kern w:val="0"/>
          <w:sz w:val="22"/>
          <w:szCs w:val="24"/>
        </w:rPr>
        <w:t xml:space="preserve">投标人名称（盖章）：                        </w:t>
      </w:r>
    </w:p>
    <w:p>
      <w:pPr>
        <w:spacing w:line="360" w:lineRule="exact"/>
        <w:ind w:right="2100" w:rightChars="1000"/>
        <w:jc w:val="left"/>
        <w:rPr>
          <w:rFonts w:ascii="宋体" w:hAnsi="宋体" w:cs="宋体"/>
          <w:snapToGrid w:val="0"/>
          <w:kern w:val="0"/>
          <w:sz w:val="22"/>
          <w:szCs w:val="24"/>
        </w:rPr>
      </w:pPr>
      <w:r>
        <w:rPr>
          <w:rFonts w:hint="eastAsia" w:ascii="宋体" w:hAnsi="宋体" w:cs="宋体"/>
          <w:snapToGrid w:val="0"/>
          <w:kern w:val="0"/>
          <w:sz w:val="22"/>
          <w:szCs w:val="24"/>
        </w:rPr>
        <w:t>日期：   年   月   日</w:t>
      </w:r>
    </w:p>
    <w:p>
      <w:pPr>
        <w:spacing w:line="360" w:lineRule="exact"/>
        <w:ind w:right="2100" w:rightChars="1000"/>
        <w:jc w:val="left"/>
        <w:rPr>
          <w:snapToGrid w:val="0"/>
          <w:kern w:val="0"/>
        </w:rPr>
      </w:pPr>
    </w:p>
    <w:p/>
    <w:p/>
    <w:p>
      <w:r>
        <w:t xml:space="preserve">            </w:t>
      </w:r>
    </w:p>
    <w:p/>
    <w:p/>
    <w:p/>
    <w:p/>
    <w:p/>
    <w:p/>
    <w:p/>
    <w:p/>
    <w:p/>
    <w:p/>
    <w:p>
      <w:pPr>
        <w:pStyle w:val="6"/>
        <w:spacing w:before="120" w:after="120"/>
        <w:jc w:val="center"/>
      </w:pPr>
      <w:r>
        <w:rPr>
          <w:rFonts w:hint="eastAsia"/>
        </w:rPr>
        <w:br w:type="page"/>
      </w:r>
      <w:r>
        <w:rPr>
          <w:rFonts w:hint="eastAsia"/>
          <w:szCs w:val="28"/>
        </w:rPr>
        <w:t>二</w:t>
      </w:r>
      <w:r>
        <w:rPr>
          <w:rFonts w:hint="eastAsia" w:ascii="宋体" w:hAnsi="宋体" w:cs="宋体"/>
          <w:b w:val="0"/>
          <w:bCs w:val="0"/>
        </w:rPr>
        <w:t>、法定代表人证明书</w:t>
      </w:r>
    </w:p>
    <w:p/>
    <w:p>
      <w:pPr>
        <w:spacing w:line="360" w:lineRule="exact"/>
        <w:rPr>
          <w:rFonts w:cs="宋体"/>
          <w:sz w:val="22"/>
        </w:rPr>
      </w:pPr>
      <w:r>
        <w:rPr>
          <w:rFonts w:hint="eastAsia" w:cs="宋体"/>
          <w:sz w:val="22"/>
        </w:rPr>
        <w:t xml:space="preserve">   </w:t>
      </w:r>
      <w:r>
        <w:rPr>
          <w:rFonts w:hint="eastAsia" w:cs="宋体"/>
          <w:sz w:val="22"/>
          <w:u w:val="single"/>
        </w:rPr>
        <w:t xml:space="preserve">         </w:t>
      </w:r>
      <w:r>
        <w:rPr>
          <w:rFonts w:hint="eastAsia" w:cs="宋体"/>
          <w:sz w:val="22"/>
        </w:rPr>
        <w:t>同志，现任我单位</w:t>
      </w:r>
      <w:r>
        <w:rPr>
          <w:rFonts w:hint="eastAsia" w:cs="宋体"/>
          <w:sz w:val="22"/>
          <w:u w:val="single"/>
        </w:rPr>
        <w:t xml:space="preserve">         </w:t>
      </w:r>
      <w:r>
        <w:rPr>
          <w:rFonts w:hint="eastAsia" w:cs="宋体"/>
          <w:sz w:val="22"/>
        </w:rPr>
        <w:t>职务，为法定代表人，特此证明。</w:t>
      </w:r>
    </w:p>
    <w:p>
      <w:pPr>
        <w:spacing w:line="360" w:lineRule="exact"/>
        <w:rPr>
          <w:rFonts w:cs="宋体"/>
          <w:sz w:val="22"/>
        </w:rPr>
      </w:pPr>
      <w:r>
        <w:rPr>
          <w:rFonts w:hint="eastAsia" w:cs="宋体"/>
          <w:sz w:val="22"/>
        </w:rPr>
        <w:t xml:space="preserve">有效日期：         签发日期：         单位：              </w:t>
      </w:r>
    </w:p>
    <w:p>
      <w:pPr>
        <w:spacing w:line="360" w:lineRule="exact"/>
        <w:rPr>
          <w:rFonts w:cs="宋体"/>
          <w:sz w:val="22"/>
        </w:rPr>
      </w:pPr>
      <w:r>
        <w:rPr>
          <w:rFonts w:hint="eastAsia" w:cs="宋体"/>
          <w:sz w:val="22"/>
        </w:rPr>
        <w:t>附：代表人性别：   年龄：      身份证号码：</w:t>
      </w:r>
    </w:p>
    <w:p>
      <w:pPr>
        <w:spacing w:line="360" w:lineRule="exact"/>
        <w:rPr>
          <w:rFonts w:cs="宋体"/>
          <w:sz w:val="22"/>
        </w:rPr>
      </w:pPr>
      <w:r>
        <w:rPr>
          <w:rFonts w:hint="eastAsia" w:cs="宋体"/>
          <w:sz w:val="22"/>
        </w:rPr>
        <w:t>营业执照号码：                 经济性质：</w:t>
      </w:r>
    </w:p>
    <w:p>
      <w:pPr>
        <w:spacing w:line="360" w:lineRule="exact"/>
        <w:rPr>
          <w:rFonts w:cs="宋体"/>
          <w:sz w:val="22"/>
        </w:rPr>
      </w:pPr>
      <w:r>
        <w:rPr>
          <w:rFonts w:hint="eastAsia" w:cs="宋体"/>
          <w:sz w:val="22"/>
        </w:rPr>
        <w:t>主营（产）：</w:t>
      </w:r>
    </w:p>
    <w:p>
      <w:pPr>
        <w:spacing w:line="360" w:lineRule="exact"/>
        <w:rPr>
          <w:rFonts w:cs="宋体"/>
          <w:sz w:val="22"/>
        </w:rPr>
      </w:pPr>
      <w:r>
        <w:rPr>
          <w:rFonts w:hint="eastAsia" w:cs="宋体"/>
          <w:sz w:val="22"/>
        </w:rPr>
        <w:t>兼营（产）：</w:t>
      </w:r>
    </w:p>
    <w:p>
      <w:pPr>
        <w:spacing w:line="360" w:lineRule="exact"/>
        <w:rPr>
          <w:rFonts w:cs="宋体"/>
          <w:sz w:val="22"/>
        </w:rPr>
      </w:pPr>
      <w:r>
        <w:rPr>
          <w:rFonts w:hint="eastAsia" w:cs="宋体"/>
          <w:sz w:val="22"/>
        </w:rPr>
        <w:t>进口物品经营许可证号码：</w:t>
      </w:r>
    </w:p>
    <w:p>
      <w:pPr>
        <w:spacing w:line="360" w:lineRule="exact"/>
        <w:rPr>
          <w:rFonts w:cs="宋体"/>
          <w:sz w:val="22"/>
        </w:rPr>
      </w:pPr>
      <w:r>
        <w:rPr>
          <w:rFonts w:hint="eastAsia" w:cs="宋体"/>
          <w:sz w:val="22"/>
        </w:rPr>
        <w:t>主营：</w:t>
      </w:r>
    </w:p>
    <w:p>
      <w:pPr>
        <w:spacing w:line="360" w:lineRule="exact"/>
        <w:rPr>
          <w:rFonts w:cs="宋体"/>
          <w:sz w:val="22"/>
        </w:rPr>
      </w:pPr>
      <w:r>
        <w:rPr>
          <w:rFonts w:hint="eastAsia" w:cs="宋体"/>
          <w:sz w:val="22"/>
        </w:rPr>
        <w:t>兼营：</w:t>
      </w:r>
    </w:p>
    <w:p>
      <w:pPr>
        <w:spacing w:line="360" w:lineRule="exact"/>
        <w:rPr>
          <w:rFonts w:cs="宋体"/>
          <w:sz w:val="22"/>
        </w:rPr>
      </w:pPr>
      <w:r>
        <w:rPr>
          <w:rFonts w:hint="eastAsia" w:cs="宋体"/>
          <w:sz w:val="22"/>
        </w:rPr>
        <w:t>说明：1、法定代表人为企业事业单位、国家机关、社会团体的主要行政负责人。</w:t>
      </w:r>
    </w:p>
    <w:p>
      <w:pPr>
        <w:spacing w:line="360" w:lineRule="exact"/>
        <w:rPr>
          <w:rFonts w:cs="宋体"/>
          <w:sz w:val="22"/>
        </w:rPr>
      </w:pPr>
      <w:r>
        <w:rPr>
          <w:rFonts w:hint="eastAsia" w:cs="宋体"/>
          <w:sz w:val="22"/>
        </w:rPr>
        <w:t xml:space="preserve">      2、内容必须填写真实、清楚，涂改无效，不得转让、买卖。</w:t>
      </w:r>
    </w:p>
    <w:p>
      <w:pPr>
        <w:spacing w:line="360" w:lineRule="exact"/>
        <w:ind w:left="660"/>
        <w:rPr>
          <w:rFonts w:cs="宋体"/>
          <w:sz w:val="22"/>
        </w:rPr>
      </w:pPr>
      <w:r>
        <w:rPr>
          <w:rFonts w:hint="eastAsia" w:cs="宋体"/>
          <w:sz w:val="22"/>
        </w:rPr>
        <w:t>3、提供法定代表人的身份证复印件（附后）。</w:t>
      </w:r>
    </w:p>
    <w:p>
      <w:pPr>
        <w:spacing w:line="360" w:lineRule="exact"/>
        <w:ind w:firstLine="663" w:firstLineChars="300"/>
        <w:rPr>
          <w:b/>
          <w:sz w:val="22"/>
        </w:rPr>
      </w:pPr>
      <w:r>
        <w:rPr>
          <w:rFonts w:hint="eastAsia"/>
          <w:b/>
          <w:sz w:val="22"/>
        </w:rPr>
        <w:t>4.提供</w:t>
      </w:r>
      <w:r>
        <w:rPr>
          <w:rFonts w:hint="eastAsia" w:cs="宋体"/>
          <w:b/>
          <w:bCs/>
          <w:color w:val="FF0000"/>
          <w:sz w:val="28"/>
          <w:szCs w:val="28"/>
        </w:rPr>
        <w:t>近一个月社保缴纳查询记录；若供应商成立不足一个月的或因社保部门原因暂时无法提供社保证明的，需提供加盖公章的情况说明或者证明材料。如为退休返聘人员则提供劳动合同或返聘协议扫描件；</w:t>
      </w:r>
    </w:p>
    <w:p>
      <w:pPr>
        <w:spacing w:line="360" w:lineRule="auto"/>
        <w:jc w:val="center"/>
        <w:rPr>
          <w:bCs/>
          <w:sz w:val="24"/>
        </w:rPr>
      </w:pPr>
      <w:r>
        <w:rPr>
          <w:rFonts w:hint="eastAsia"/>
          <w:bCs/>
          <w:sz w:val="24"/>
        </w:rPr>
        <w:t xml:space="preserve">       </w:t>
      </w:r>
    </w:p>
    <w:p>
      <w:pPr>
        <w:spacing w:line="360" w:lineRule="auto"/>
        <w:jc w:val="center"/>
        <w:rPr>
          <w:bCs/>
          <w:sz w:val="24"/>
        </w:rPr>
      </w:pPr>
    </w:p>
    <w:p>
      <w:pPr>
        <w:spacing w:line="360" w:lineRule="exact"/>
        <w:ind w:right="2100" w:rightChars="1000"/>
        <w:jc w:val="left"/>
        <w:rPr>
          <w:rFonts w:ascii="宋体" w:hAnsi="宋体" w:cs="宋体"/>
          <w:snapToGrid w:val="0"/>
          <w:kern w:val="0"/>
          <w:sz w:val="22"/>
          <w:szCs w:val="24"/>
        </w:rPr>
      </w:pPr>
      <w:r>
        <w:rPr>
          <w:rFonts w:hint="eastAsia" w:ascii="宋体" w:hAnsi="宋体" w:cs="宋体"/>
          <w:snapToGrid w:val="0"/>
          <w:kern w:val="0"/>
          <w:sz w:val="22"/>
          <w:szCs w:val="24"/>
        </w:rPr>
        <w:t xml:space="preserve">投标人名称（盖章）： </w:t>
      </w:r>
    </w:p>
    <w:p>
      <w:pPr>
        <w:spacing w:line="360" w:lineRule="exact"/>
        <w:ind w:right="2100" w:rightChars="1000"/>
        <w:jc w:val="left"/>
        <w:rPr>
          <w:rFonts w:ascii="宋体" w:hAnsi="宋体" w:cs="宋体"/>
          <w:snapToGrid w:val="0"/>
          <w:kern w:val="0"/>
          <w:sz w:val="22"/>
          <w:szCs w:val="24"/>
        </w:rPr>
      </w:pPr>
      <w:r>
        <w:rPr>
          <w:rFonts w:hint="eastAsia" w:ascii="宋体" w:hAnsi="宋体" w:cs="宋体"/>
          <w:snapToGrid w:val="0"/>
          <w:kern w:val="0"/>
          <w:sz w:val="22"/>
          <w:szCs w:val="24"/>
        </w:rPr>
        <w:t xml:space="preserve">                       </w:t>
      </w:r>
    </w:p>
    <w:p>
      <w:pPr>
        <w:spacing w:line="360" w:lineRule="exact"/>
        <w:ind w:right="2100" w:rightChars="1000"/>
        <w:jc w:val="left"/>
        <w:rPr>
          <w:rFonts w:ascii="宋体" w:hAnsi="宋体" w:cs="宋体"/>
          <w:snapToGrid w:val="0"/>
          <w:kern w:val="0"/>
          <w:sz w:val="22"/>
          <w:szCs w:val="24"/>
        </w:rPr>
      </w:pPr>
      <w:r>
        <w:rPr>
          <w:rFonts w:hint="eastAsia" w:ascii="宋体" w:hAnsi="宋体" w:cs="宋体"/>
          <w:snapToGrid w:val="0"/>
          <w:kern w:val="0"/>
          <w:sz w:val="22"/>
          <w:szCs w:val="24"/>
        </w:rPr>
        <w:t>日期：   年   月   日</w:t>
      </w:r>
    </w:p>
    <w:p>
      <w:pPr>
        <w:pStyle w:val="6"/>
        <w:spacing w:before="120" w:after="120"/>
        <w:jc w:val="center"/>
        <w:rPr>
          <w:b w:val="0"/>
        </w:rPr>
      </w:pPr>
      <w:r>
        <w:rPr>
          <w:rFonts w:hint="eastAsia"/>
          <w:bCs w:val="0"/>
          <w:sz w:val="24"/>
        </w:rPr>
        <w:br w:type="page"/>
      </w:r>
      <w:r>
        <w:rPr>
          <w:rFonts w:hint="eastAsia"/>
          <w:b w:val="0"/>
          <w:bCs w:val="0"/>
          <w:szCs w:val="36"/>
        </w:rPr>
        <w:t>三、法定代表人授权书</w:t>
      </w:r>
    </w:p>
    <w:p>
      <w:pPr>
        <w:rPr>
          <w:bCs/>
          <w:sz w:val="24"/>
        </w:rPr>
      </w:pPr>
    </w:p>
    <w:p>
      <w:pPr>
        <w:spacing w:line="360" w:lineRule="exact"/>
        <w:rPr>
          <w:bCs/>
          <w:sz w:val="22"/>
        </w:rPr>
      </w:pPr>
      <w:r>
        <w:rPr>
          <w:sz w:val="22"/>
        </w:rPr>
        <w:t>致：</w:t>
      </w:r>
    </w:p>
    <w:p>
      <w:pPr>
        <w:spacing w:line="360" w:lineRule="exact"/>
        <w:rPr>
          <w:bCs/>
          <w:sz w:val="22"/>
        </w:rPr>
      </w:pPr>
    </w:p>
    <w:p>
      <w:pPr>
        <w:spacing w:line="360" w:lineRule="exact"/>
        <w:rPr>
          <w:bCs/>
          <w:sz w:val="22"/>
        </w:rPr>
      </w:pPr>
      <w:r>
        <w:rPr>
          <w:bCs/>
          <w:sz w:val="22"/>
        </w:rPr>
        <w:t xml:space="preserve">     </w:t>
      </w:r>
      <w:r>
        <w:rPr>
          <w:bCs/>
          <w:sz w:val="22"/>
          <w:u w:val="single"/>
        </w:rPr>
        <w:t xml:space="preserve">          （投标人全称）     </w:t>
      </w:r>
      <w:r>
        <w:rPr>
          <w:bCs/>
          <w:sz w:val="22"/>
        </w:rPr>
        <w:t xml:space="preserve"> 法定代表人</w:t>
      </w:r>
      <w:r>
        <w:rPr>
          <w:bCs/>
          <w:sz w:val="22"/>
          <w:u w:val="single"/>
        </w:rPr>
        <w:t xml:space="preserve">                 </w:t>
      </w:r>
      <w:r>
        <w:rPr>
          <w:bCs/>
          <w:sz w:val="22"/>
        </w:rPr>
        <w:t xml:space="preserve">授权 </w:t>
      </w:r>
      <w:r>
        <w:rPr>
          <w:bCs/>
          <w:sz w:val="22"/>
          <w:u w:val="single"/>
        </w:rPr>
        <w:t xml:space="preserve">  （被授权代表姓名、职务）              </w:t>
      </w:r>
      <w:r>
        <w:rPr>
          <w:bCs/>
          <w:sz w:val="22"/>
        </w:rPr>
        <w:t>为本公司合法代理人，参加贵招标代理公司组织的</w:t>
      </w:r>
      <w:r>
        <w:rPr>
          <w:bCs/>
          <w:sz w:val="22"/>
          <w:u w:val="single"/>
        </w:rPr>
        <w:t xml:space="preserve">   (项目名称)（项目编号）                      </w:t>
      </w:r>
      <w:r>
        <w:rPr>
          <w:bCs/>
          <w:sz w:val="22"/>
        </w:rPr>
        <w:t xml:space="preserve"> 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p>
    <w:p>
      <w:pPr>
        <w:spacing w:line="360" w:lineRule="exact"/>
        <w:rPr>
          <w:bCs/>
          <w:sz w:val="22"/>
        </w:rPr>
      </w:pPr>
      <w:r>
        <w:rPr>
          <w:bCs/>
          <w:sz w:val="22"/>
        </w:rPr>
        <w:t xml:space="preserve">     本授权书于</w:t>
      </w:r>
      <w:r>
        <w:rPr>
          <w:bCs/>
          <w:sz w:val="22"/>
          <w:u w:val="single"/>
        </w:rPr>
        <w:t xml:space="preserve">       </w:t>
      </w:r>
      <w:r>
        <w:rPr>
          <w:bCs/>
          <w:sz w:val="22"/>
        </w:rPr>
        <w:t>年</w:t>
      </w:r>
      <w:r>
        <w:rPr>
          <w:bCs/>
          <w:sz w:val="22"/>
          <w:u w:val="single"/>
        </w:rPr>
        <w:t xml:space="preserve">   </w:t>
      </w:r>
      <w:r>
        <w:rPr>
          <w:bCs/>
          <w:sz w:val="22"/>
        </w:rPr>
        <w:t>月</w:t>
      </w:r>
      <w:r>
        <w:rPr>
          <w:bCs/>
          <w:sz w:val="22"/>
          <w:u w:val="single"/>
        </w:rPr>
        <w:t xml:space="preserve">    </w:t>
      </w:r>
      <w:r>
        <w:rPr>
          <w:bCs/>
          <w:sz w:val="22"/>
        </w:rPr>
        <w:t>日签字生效，特此声明。</w:t>
      </w:r>
    </w:p>
    <w:p>
      <w:pPr>
        <w:spacing w:line="360" w:lineRule="exact"/>
        <w:rPr>
          <w:bCs/>
          <w:sz w:val="22"/>
        </w:rPr>
      </w:pPr>
    </w:p>
    <w:p>
      <w:pPr>
        <w:spacing w:line="360" w:lineRule="exact"/>
        <w:ind w:firstLine="110" w:firstLineChars="50"/>
        <w:rPr>
          <w:bCs/>
          <w:sz w:val="22"/>
          <w:u w:val="single"/>
        </w:rPr>
      </w:pPr>
      <w:r>
        <w:rPr>
          <w:bCs/>
          <w:sz w:val="22"/>
        </w:rPr>
        <w:t>被授权人：</w:t>
      </w:r>
      <w:r>
        <w:rPr>
          <w:bCs/>
          <w:sz w:val="22"/>
          <w:u w:val="single"/>
        </w:rPr>
        <w:t xml:space="preserve">                  </w:t>
      </w:r>
      <w:r>
        <w:rPr>
          <w:bCs/>
          <w:sz w:val="22"/>
        </w:rPr>
        <w:t xml:space="preserve">   职务：</w:t>
      </w:r>
      <w:r>
        <w:rPr>
          <w:bCs/>
          <w:sz w:val="22"/>
          <w:u w:val="single"/>
        </w:rPr>
        <w:t xml:space="preserve">                  </w:t>
      </w:r>
    </w:p>
    <w:p>
      <w:pPr>
        <w:spacing w:line="360" w:lineRule="exact"/>
        <w:ind w:firstLine="110" w:firstLineChars="50"/>
        <w:rPr>
          <w:bCs/>
          <w:sz w:val="22"/>
          <w:u w:val="single"/>
        </w:rPr>
      </w:pPr>
      <w:r>
        <w:rPr>
          <w:bCs/>
          <w:sz w:val="22"/>
        </w:rPr>
        <w:t>联系电话：</w:t>
      </w:r>
      <w:r>
        <w:rPr>
          <w:bCs/>
          <w:sz w:val="22"/>
          <w:u w:val="single"/>
        </w:rPr>
        <w:t xml:space="preserve">                  </w:t>
      </w:r>
      <w:r>
        <w:rPr>
          <w:bCs/>
          <w:sz w:val="22"/>
        </w:rPr>
        <w:t xml:space="preserve">   手机：</w:t>
      </w:r>
      <w:r>
        <w:rPr>
          <w:bCs/>
          <w:sz w:val="22"/>
          <w:u w:val="single"/>
        </w:rPr>
        <w:t xml:space="preserve">                  </w:t>
      </w:r>
    </w:p>
    <w:p>
      <w:pPr>
        <w:spacing w:line="360" w:lineRule="exact"/>
        <w:ind w:firstLine="110" w:firstLineChars="50"/>
        <w:rPr>
          <w:bCs/>
          <w:sz w:val="22"/>
        </w:rPr>
      </w:pPr>
      <w:r>
        <w:rPr>
          <w:bCs/>
          <w:sz w:val="22"/>
        </w:rPr>
        <w:t>身份证号码：</w:t>
      </w:r>
      <w:r>
        <w:rPr>
          <w:bCs/>
          <w:sz w:val="22"/>
          <w:u w:val="single"/>
        </w:rPr>
        <w:t xml:space="preserve">                                           </w:t>
      </w:r>
    </w:p>
    <w:p>
      <w:pPr>
        <w:spacing w:line="360" w:lineRule="exact"/>
        <w:ind w:firstLine="110" w:firstLineChars="50"/>
        <w:rPr>
          <w:bCs/>
          <w:sz w:val="22"/>
          <w:u w:val="single"/>
        </w:rPr>
      </w:pPr>
      <w:r>
        <w:rPr>
          <w:bCs/>
          <w:sz w:val="22"/>
        </w:rPr>
        <w:t>投标人（盖章）：</w:t>
      </w:r>
      <w:r>
        <w:rPr>
          <w:bCs/>
          <w:sz w:val="22"/>
          <w:u w:val="single"/>
        </w:rPr>
        <w:t xml:space="preserve">                                        </w:t>
      </w:r>
    </w:p>
    <w:p>
      <w:pPr>
        <w:spacing w:line="360" w:lineRule="exact"/>
        <w:ind w:firstLine="110" w:firstLineChars="50"/>
        <w:rPr>
          <w:bCs/>
          <w:sz w:val="22"/>
          <w:u w:val="single"/>
        </w:rPr>
      </w:pPr>
      <w:r>
        <w:rPr>
          <w:bCs/>
          <w:sz w:val="22"/>
        </w:rPr>
        <w:t>法定代表人（签名）：</w:t>
      </w:r>
      <w:r>
        <w:rPr>
          <w:bCs/>
          <w:sz w:val="22"/>
          <w:u w:val="single"/>
        </w:rPr>
        <w:t xml:space="preserve">                                    </w:t>
      </w:r>
    </w:p>
    <w:p>
      <w:pPr>
        <w:spacing w:line="360" w:lineRule="exact"/>
        <w:ind w:firstLine="110" w:firstLineChars="50"/>
        <w:rPr>
          <w:bCs/>
          <w:sz w:val="22"/>
          <w:u w:val="single"/>
        </w:rPr>
      </w:pPr>
      <w:r>
        <w:rPr>
          <w:bCs/>
          <w:sz w:val="22"/>
        </w:rPr>
        <w:t>被授权人（签名）：</w:t>
      </w:r>
      <w:r>
        <w:rPr>
          <w:bCs/>
          <w:sz w:val="22"/>
          <w:u w:val="single"/>
        </w:rPr>
        <w:t xml:space="preserve">                                      </w:t>
      </w:r>
    </w:p>
    <w:p>
      <w:pPr>
        <w:spacing w:line="360" w:lineRule="exact"/>
        <w:rPr>
          <w:bCs/>
          <w:sz w:val="22"/>
        </w:rPr>
      </w:pPr>
    </w:p>
    <w:p>
      <w:pPr>
        <w:spacing w:line="360" w:lineRule="exact"/>
        <w:rPr>
          <w:bCs/>
          <w:sz w:val="22"/>
        </w:rPr>
      </w:pPr>
      <w:r>
        <w:rPr>
          <w:bCs/>
          <w:sz w:val="22"/>
        </w:rPr>
        <w:t>说明：1.本授权委托书要求投标人提供有</w:t>
      </w:r>
      <w:r>
        <w:rPr>
          <w:b/>
          <w:bCs/>
          <w:sz w:val="22"/>
        </w:rPr>
        <w:t>代理人签字、法定代表人的签字（或盖私章）和加盖公章</w:t>
      </w:r>
      <w:r>
        <w:rPr>
          <w:bCs/>
          <w:sz w:val="22"/>
        </w:rPr>
        <w:t>后的原件方为有效；</w:t>
      </w:r>
    </w:p>
    <w:p>
      <w:pPr>
        <w:spacing w:line="360" w:lineRule="exact"/>
        <w:jc w:val="left"/>
        <w:rPr>
          <w:bCs/>
          <w:sz w:val="22"/>
        </w:rPr>
      </w:pPr>
      <w:r>
        <w:rPr>
          <w:bCs/>
          <w:sz w:val="22"/>
        </w:rPr>
        <w:t>2.</w:t>
      </w:r>
      <w:r>
        <w:rPr>
          <w:rFonts w:hint="eastAsia"/>
          <w:b/>
          <w:sz w:val="22"/>
        </w:rPr>
        <w:t>提供</w:t>
      </w:r>
      <w:r>
        <w:rPr>
          <w:rFonts w:hint="eastAsia" w:cs="宋体"/>
          <w:b/>
          <w:bCs/>
          <w:color w:val="FF0000"/>
          <w:sz w:val="28"/>
          <w:szCs w:val="28"/>
        </w:rPr>
        <w:t>近一个月社保缴纳查询记录；若供应商成立不足一个月的或因社保部门原因暂时无法提供社保证明的，需提供加盖公章的情况说明或者证明材料。如为退休返聘人员则提供劳动合同或返聘协议扫描件；</w:t>
      </w:r>
    </w:p>
    <w:p>
      <w:pPr>
        <w:spacing w:line="360" w:lineRule="exact"/>
        <w:jc w:val="left"/>
        <w:rPr>
          <w:bCs/>
          <w:sz w:val="22"/>
        </w:rPr>
      </w:pPr>
      <w:r>
        <w:rPr>
          <w:rFonts w:hint="eastAsia"/>
          <w:bCs/>
          <w:sz w:val="22"/>
        </w:rPr>
        <w:t>3.</w:t>
      </w:r>
      <w:r>
        <w:rPr>
          <w:bCs/>
          <w:sz w:val="22"/>
        </w:rPr>
        <w:t>提供代理人的身份证复印件（附后）。</w:t>
      </w:r>
    </w:p>
    <w:p>
      <w:pPr>
        <w:pStyle w:val="5"/>
        <w:rPr>
          <w:bCs/>
          <w:sz w:val="22"/>
        </w:rPr>
      </w:pPr>
      <w:r>
        <w:rPr>
          <w:bCs/>
          <w:sz w:val="22"/>
        </w:rPr>
        <w:br w:type="page"/>
      </w:r>
    </w:p>
    <w:p>
      <w:pPr>
        <w:pStyle w:val="5"/>
        <w:rPr>
          <w:bCs/>
          <w:sz w:val="22"/>
        </w:rPr>
      </w:pPr>
    </w:p>
    <w:p>
      <w:pPr>
        <w:pStyle w:val="5"/>
        <w:rPr>
          <w:bCs/>
          <w:sz w:val="22"/>
        </w:rPr>
      </w:pPr>
    </w:p>
    <w:p>
      <w:pPr>
        <w:pStyle w:val="5"/>
        <w:rPr>
          <w:bCs/>
          <w:sz w:val="22"/>
        </w:rPr>
      </w:pPr>
    </w:p>
    <w:p>
      <w:pPr>
        <w:pStyle w:val="5"/>
        <w:rPr>
          <w:bCs/>
          <w:sz w:val="22"/>
        </w:rPr>
      </w:pPr>
    </w:p>
    <w:p>
      <w:pPr>
        <w:pStyle w:val="5"/>
        <w:rPr>
          <w:bCs/>
          <w:sz w:val="22"/>
        </w:rPr>
      </w:pPr>
    </w:p>
    <w:p>
      <w:pPr>
        <w:pStyle w:val="5"/>
        <w:rPr>
          <w:bCs/>
          <w:sz w:val="22"/>
        </w:rPr>
      </w:pPr>
    </w:p>
    <w:p>
      <w:pPr>
        <w:pStyle w:val="5"/>
        <w:rPr>
          <w:bCs/>
          <w:sz w:val="22"/>
        </w:rPr>
      </w:pPr>
    </w:p>
    <w:p>
      <w:pPr>
        <w:pStyle w:val="5"/>
        <w:rPr>
          <w:bCs/>
          <w:sz w:val="22"/>
        </w:rPr>
      </w:pPr>
    </w:p>
    <w:p>
      <w:pPr>
        <w:pStyle w:val="5"/>
        <w:rPr>
          <w:bCs/>
          <w:sz w:val="22"/>
        </w:rPr>
      </w:pPr>
    </w:p>
    <w:p>
      <w:pPr>
        <w:pStyle w:val="5"/>
        <w:rPr>
          <w:bCs/>
          <w:sz w:val="22"/>
        </w:rPr>
      </w:pPr>
    </w:p>
    <w:p>
      <w:pPr>
        <w:pStyle w:val="5"/>
        <w:rPr>
          <w:bCs/>
          <w:sz w:val="22"/>
        </w:rPr>
      </w:pPr>
    </w:p>
    <w:p>
      <w:pPr>
        <w:pStyle w:val="5"/>
        <w:rPr>
          <w:bCs/>
          <w:sz w:val="22"/>
        </w:rPr>
      </w:pPr>
    </w:p>
    <w:p>
      <w:pPr>
        <w:pStyle w:val="5"/>
        <w:rPr>
          <w:bCs/>
          <w:sz w:val="22"/>
        </w:rPr>
      </w:pPr>
    </w:p>
    <w:p>
      <w:pPr>
        <w:pStyle w:val="5"/>
        <w:rPr>
          <w:kern w:val="28"/>
          <w:sz w:val="40"/>
          <w:szCs w:val="40"/>
        </w:rPr>
      </w:pPr>
      <w:r>
        <w:rPr>
          <w:rFonts w:hint="eastAsia"/>
          <w:kern w:val="28"/>
          <w:sz w:val="40"/>
          <w:szCs w:val="40"/>
        </w:rPr>
        <w:t>投标文件要求：</w:t>
      </w:r>
    </w:p>
    <w:p>
      <w:pPr>
        <w:pStyle w:val="5"/>
        <w:rPr>
          <w:rFonts w:ascii="宋体" w:hAnsi="宋体" w:cs="宋体"/>
          <w:sz w:val="22"/>
        </w:rPr>
      </w:pPr>
    </w:p>
    <w:p>
      <w:pPr>
        <w:pStyle w:val="5"/>
        <w:rPr>
          <w:rFonts w:ascii="宋体" w:hAnsi="宋体" w:cs="宋体"/>
          <w:sz w:val="22"/>
        </w:rPr>
      </w:pPr>
    </w:p>
    <w:p>
      <w:pPr>
        <w:pStyle w:val="5"/>
        <w:rPr>
          <w:rFonts w:ascii="宋体" w:hAnsi="宋体" w:cs="宋体"/>
          <w:sz w:val="22"/>
        </w:rPr>
      </w:pPr>
    </w:p>
    <w:p>
      <w:pPr>
        <w:pStyle w:val="5"/>
        <w:rPr>
          <w:rFonts w:ascii="宋体" w:hAnsi="宋体" w:cs="宋体"/>
          <w:sz w:val="28"/>
          <w:szCs w:val="28"/>
        </w:rPr>
      </w:pPr>
      <w:r>
        <w:rPr>
          <w:rFonts w:hint="eastAsia" w:ascii="宋体" w:hAnsi="宋体" w:cs="宋体"/>
          <w:sz w:val="28"/>
          <w:szCs w:val="28"/>
        </w:rPr>
        <w:t>投标文件须胶装装订，装订美观，耐磨损，密封完好。</w:t>
      </w:r>
    </w:p>
    <w:p>
      <w:pPr>
        <w:jc w:val="center"/>
        <w:rPr>
          <w:rFonts w:ascii="宋体" w:hAnsi="宋体" w:cs="宋体"/>
          <w:b/>
          <w:bCs/>
          <w:sz w:val="28"/>
          <w:szCs w:val="28"/>
        </w:rPr>
      </w:pPr>
      <w:r>
        <w:rPr>
          <w:rFonts w:hint="eastAsia" w:ascii="宋体" w:hAnsi="宋体" w:cs="宋体"/>
          <w:b/>
          <w:bCs/>
          <w:sz w:val="28"/>
          <w:szCs w:val="28"/>
        </w:rPr>
        <w:t>以便采购人查阅和留存保管。</w:t>
      </w:r>
    </w:p>
    <w:p>
      <w:pPr>
        <w:pStyle w:val="5"/>
        <w:rPr>
          <w:sz w:val="32"/>
          <w:szCs w:val="32"/>
        </w:rPr>
      </w:pPr>
      <w:r>
        <w:rPr>
          <w:bCs/>
          <w:sz w:val="22"/>
        </w:rPr>
        <w:br w:type="page"/>
      </w:r>
      <w:r>
        <w:rPr>
          <w:b w:val="0"/>
          <w:bCs/>
          <w:sz w:val="32"/>
          <w:szCs w:val="32"/>
        </w:rPr>
        <w:t>附件2、投标文件</w:t>
      </w:r>
    </w:p>
    <w:p>
      <w:pPr>
        <w:rPr>
          <w:szCs w:val="21"/>
        </w:rPr>
      </w:pPr>
    </w:p>
    <w:p>
      <w:pPr>
        <w:rPr>
          <w:szCs w:val="21"/>
        </w:rPr>
      </w:pPr>
    </w:p>
    <w:p>
      <w:pPr>
        <w:pStyle w:val="43"/>
        <w:ind w:left="0" w:leftChars="0" w:firstLine="0" w:firstLineChars="0"/>
        <w:rPr>
          <w:rFonts w:ascii="Times New Roman" w:hAnsi="Times New Roman"/>
        </w:rPr>
      </w:pPr>
    </w:p>
    <w:p>
      <w:pPr>
        <w:pStyle w:val="43"/>
        <w:ind w:left="0" w:leftChars="0" w:firstLine="0" w:firstLineChars="0"/>
        <w:rPr>
          <w:rFonts w:ascii="Times New Roman" w:hAnsi="Times New Roman"/>
        </w:rPr>
      </w:pPr>
    </w:p>
    <w:p>
      <w:pPr>
        <w:pStyle w:val="43"/>
        <w:ind w:left="0" w:leftChars="0" w:firstLine="0" w:firstLineChars="0"/>
        <w:rPr>
          <w:rFonts w:ascii="Times New Roman" w:hAnsi="Times New Roman"/>
        </w:rPr>
      </w:pPr>
    </w:p>
    <w:p>
      <w:pPr>
        <w:jc w:val="center"/>
        <w:rPr>
          <w:sz w:val="44"/>
          <w:szCs w:val="44"/>
        </w:rPr>
      </w:pPr>
      <w:r>
        <w:rPr>
          <w:rFonts w:hint="eastAsia"/>
          <w:sz w:val="44"/>
          <w:szCs w:val="44"/>
        </w:rPr>
        <w:t>深圳市第二人民医院脊柱健康科普资料宣传折页项目</w:t>
      </w:r>
    </w:p>
    <w:p>
      <w:pPr>
        <w:jc w:val="center"/>
        <w:rPr>
          <w:sz w:val="44"/>
          <w:szCs w:val="44"/>
        </w:rPr>
      </w:pPr>
      <w:r>
        <w:rPr>
          <w:sz w:val="44"/>
          <w:szCs w:val="44"/>
        </w:rPr>
        <w:t>（投标文件）</w:t>
      </w:r>
    </w:p>
    <w:p>
      <w:pPr>
        <w:jc w:val="center"/>
        <w:rPr>
          <w:sz w:val="44"/>
          <w:szCs w:val="44"/>
        </w:rPr>
      </w:pPr>
    </w:p>
    <w:p>
      <w:pPr>
        <w:jc w:val="center"/>
        <w:rPr>
          <w:sz w:val="44"/>
          <w:szCs w:val="44"/>
        </w:rPr>
      </w:pPr>
    </w:p>
    <w:p>
      <w:pPr>
        <w:jc w:val="center"/>
        <w:rPr>
          <w:sz w:val="44"/>
          <w:szCs w:val="44"/>
        </w:rPr>
      </w:pPr>
    </w:p>
    <w:p>
      <w:pPr>
        <w:jc w:val="center"/>
        <w:rPr>
          <w:sz w:val="44"/>
          <w:szCs w:val="44"/>
        </w:rPr>
      </w:pPr>
    </w:p>
    <w:p>
      <w:pPr>
        <w:rPr>
          <w:sz w:val="44"/>
          <w:szCs w:val="44"/>
        </w:rPr>
      </w:pPr>
    </w:p>
    <w:p>
      <w:pPr>
        <w:spacing w:line="480" w:lineRule="auto"/>
        <w:ind w:firstLine="1400" w:firstLineChars="500"/>
        <w:rPr>
          <w:sz w:val="28"/>
          <w:szCs w:val="28"/>
          <w:u w:val="single"/>
        </w:rPr>
      </w:pPr>
      <w:r>
        <w:rPr>
          <w:sz w:val="28"/>
          <w:szCs w:val="28"/>
        </w:rPr>
        <w:t>项目编号：________________________</w:t>
      </w:r>
    </w:p>
    <w:p>
      <w:pPr>
        <w:spacing w:line="480" w:lineRule="auto"/>
        <w:ind w:firstLine="1400" w:firstLineChars="500"/>
        <w:rPr>
          <w:sz w:val="28"/>
          <w:szCs w:val="28"/>
          <w:u w:val="single"/>
        </w:rPr>
      </w:pPr>
      <w:r>
        <w:rPr>
          <w:sz w:val="28"/>
          <w:szCs w:val="28"/>
        </w:rPr>
        <w:t>供应商（盖章）：___________________</w:t>
      </w:r>
    </w:p>
    <w:p>
      <w:pPr>
        <w:spacing w:line="480" w:lineRule="auto"/>
        <w:ind w:firstLine="1400" w:firstLineChars="500"/>
        <w:rPr>
          <w:sz w:val="28"/>
          <w:szCs w:val="28"/>
        </w:rPr>
      </w:pPr>
      <w:r>
        <w:rPr>
          <w:sz w:val="28"/>
          <w:szCs w:val="28"/>
        </w:rPr>
        <w:t>法定代表人或授权委托人签字：____________</w:t>
      </w:r>
    </w:p>
    <w:p>
      <w:pPr>
        <w:spacing w:line="480" w:lineRule="auto"/>
        <w:ind w:firstLine="1400" w:firstLineChars="500"/>
        <w:rPr>
          <w:sz w:val="28"/>
          <w:szCs w:val="28"/>
        </w:rPr>
      </w:pPr>
      <w:r>
        <w:rPr>
          <w:sz w:val="28"/>
          <w:szCs w:val="28"/>
        </w:rPr>
        <w:t>投标日期：______年_____月______日</w:t>
      </w:r>
    </w:p>
    <w:p/>
    <w:p/>
    <w:p>
      <w:pPr>
        <w:jc w:val="center"/>
        <w:rPr>
          <w:b/>
          <w:bCs/>
          <w:sz w:val="32"/>
          <w:szCs w:val="32"/>
        </w:rPr>
      </w:pPr>
      <w:r>
        <w:rPr>
          <w:b/>
          <w:bCs/>
          <w:sz w:val="32"/>
          <w:szCs w:val="32"/>
        </w:rPr>
        <w:br w:type="page"/>
      </w:r>
      <w:r>
        <w:rPr>
          <w:b/>
          <w:bCs/>
          <w:sz w:val="32"/>
          <w:szCs w:val="32"/>
        </w:rPr>
        <w:t>投标文件目录</w:t>
      </w:r>
    </w:p>
    <w:p>
      <w:pPr>
        <w:numPr>
          <w:ilvl w:val="0"/>
          <w:numId w:val="5"/>
        </w:numPr>
        <w:spacing w:line="360" w:lineRule="auto"/>
        <w:ind w:left="420"/>
        <w:rPr>
          <w:rFonts w:ascii="宋体" w:hAnsi="宋体" w:cs="宋体"/>
          <w:sz w:val="22"/>
        </w:rPr>
      </w:pPr>
      <w:r>
        <w:rPr>
          <w:rFonts w:hint="eastAsia" w:ascii="宋体" w:hAnsi="宋体" w:cs="宋体"/>
          <w:sz w:val="22"/>
        </w:rPr>
        <w:t>评标指引表</w:t>
      </w:r>
    </w:p>
    <w:p>
      <w:pPr>
        <w:numPr>
          <w:ilvl w:val="0"/>
          <w:numId w:val="5"/>
        </w:numPr>
        <w:spacing w:line="360" w:lineRule="auto"/>
        <w:ind w:left="420"/>
        <w:rPr>
          <w:rFonts w:ascii="宋体" w:hAnsi="宋体" w:cs="宋体"/>
          <w:sz w:val="22"/>
        </w:rPr>
      </w:pPr>
      <w:r>
        <w:rPr>
          <w:rFonts w:hint="eastAsia" w:ascii="宋体" w:hAnsi="宋体" w:cs="宋体"/>
          <w:sz w:val="22"/>
        </w:rPr>
        <w:t>投标函及投标保证金交纳凭证</w:t>
      </w:r>
    </w:p>
    <w:p>
      <w:pPr>
        <w:numPr>
          <w:ilvl w:val="0"/>
          <w:numId w:val="5"/>
        </w:numPr>
        <w:spacing w:line="360" w:lineRule="auto"/>
        <w:ind w:left="420"/>
        <w:rPr>
          <w:rFonts w:ascii="宋体" w:hAnsi="宋体" w:cs="宋体"/>
          <w:sz w:val="22"/>
        </w:rPr>
      </w:pPr>
      <w:r>
        <w:rPr>
          <w:rFonts w:hint="eastAsia" w:ascii="宋体" w:hAnsi="宋体" w:cs="宋体"/>
          <w:sz w:val="22"/>
        </w:rPr>
        <w:t>政府采购投标及履约承诺函</w:t>
      </w:r>
    </w:p>
    <w:p>
      <w:pPr>
        <w:numPr>
          <w:ilvl w:val="0"/>
          <w:numId w:val="5"/>
        </w:numPr>
        <w:spacing w:line="360" w:lineRule="auto"/>
        <w:ind w:left="420"/>
        <w:rPr>
          <w:rFonts w:ascii="宋体" w:hAnsi="宋体" w:cs="宋体"/>
          <w:sz w:val="22"/>
        </w:rPr>
      </w:pPr>
      <w:r>
        <w:rPr>
          <w:rFonts w:hint="eastAsia" w:ascii="宋体" w:hAnsi="宋体" w:cs="宋体"/>
          <w:sz w:val="22"/>
        </w:rPr>
        <w:t>诚信承诺函</w:t>
      </w:r>
    </w:p>
    <w:p>
      <w:pPr>
        <w:numPr>
          <w:ilvl w:val="0"/>
          <w:numId w:val="5"/>
        </w:numPr>
        <w:spacing w:line="360" w:lineRule="auto"/>
        <w:ind w:left="420"/>
        <w:rPr>
          <w:rFonts w:ascii="宋体" w:hAnsi="宋体" w:cs="宋体"/>
          <w:sz w:val="22"/>
        </w:rPr>
      </w:pPr>
      <w:r>
        <w:rPr>
          <w:rFonts w:hint="eastAsia" w:ascii="宋体" w:hAnsi="宋体" w:cs="宋体"/>
          <w:sz w:val="22"/>
        </w:rPr>
        <w:t>政府采购违法行为风险知悉确认书</w:t>
      </w:r>
    </w:p>
    <w:p>
      <w:pPr>
        <w:numPr>
          <w:ilvl w:val="0"/>
          <w:numId w:val="5"/>
        </w:numPr>
        <w:spacing w:line="360" w:lineRule="auto"/>
        <w:ind w:left="420"/>
        <w:rPr>
          <w:rFonts w:ascii="宋体" w:hAnsi="宋体" w:cs="宋体"/>
          <w:sz w:val="22"/>
        </w:rPr>
      </w:pPr>
      <w:r>
        <w:rPr>
          <w:rFonts w:hint="eastAsia" w:ascii="宋体" w:hAnsi="宋体" w:cs="宋体"/>
          <w:sz w:val="22"/>
        </w:rPr>
        <w:t>法定代表人证明书</w:t>
      </w:r>
    </w:p>
    <w:p>
      <w:pPr>
        <w:numPr>
          <w:ilvl w:val="0"/>
          <w:numId w:val="5"/>
        </w:numPr>
        <w:spacing w:line="360" w:lineRule="auto"/>
        <w:ind w:left="420"/>
        <w:rPr>
          <w:rFonts w:ascii="宋体" w:hAnsi="宋体" w:cs="宋体"/>
          <w:sz w:val="22"/>
        </w:rPr>
      </w:pPr>
      <w:r>
        <w:rPr>
          <w:rFonts w:hint="eastAsia" w:ascii="宋体" w:hAnsi="宋体" w:cs="宋体"/>
          <w:sz w:val="22"/>
        </w:rPr>
        <w:t>法定代表人授权书</w:t>
      </w:r>
    </w:p>
    <w:p>
      <w:pPr>
        <w:numPr>
          <w:ilvl w:val="0"/>
          <w:numId w:val="5"/>
        </w:numPr>
        <w:spacing w:line="360" w:lineRule="auto"/>
        <w:ind w:left="420"/>
        <w:rPr>
          <w:rFonts w:ascii="宋体" w:hAnsi="宋体" w:cs="宋体"/>
          <w:sz w:val="22"/>
        </w:rPr>
      </w:pPr>
      <w:r>
        <w:rPr>
          <w:rFonts w:hint="eastAsia" w:ascii="宋体" w:hAnsi="宋体" w:cs="宋体"/>
          <w:sz w:val="22"/>
        </w:rPr>
        <w:t>招标代理服务费承诺函</w:t>
      </w:r>
    </w:p>
    <w:p>
      <w:pPr>
        <w:numPr>
          <w:ilvl w:val="0"/>
          <w:numId w:val="5"/>
        </w:numPr>
        <w:spacing w:line="360" w:lineRule="auto"/>
        <w:ind w:left="420"/>
        <w:rPr>
          <w:rFonts w:ascii="宋体" w:hAnsi="宋体" w:cs="宋体"/>
          <w:sz w:val="22"/>
        </w:rPr>
      </w:pPr>
      <w:r>
        <w:rPr>
          <w:rFonts w:hint="eastAsia" w:ascii="宋体" w:hAnsi="宋体" w:cs="宋体"/>
          <w:sz w:val="22"/>
        </w:rPr>
        <w:t>报价清单表</w:t>
      </w:r>
    </w:p>
    <w:p>
      <w:pPr>
        <w:numPr>
          <w:ilvl w:val="0"/>
          <w:numId w:val="5"/>
        </w:numPr>
        <w:spacing w:line="360" w:lineRule="auto"/>
        <w:ind w:left="420"/>
        <w:rPr>
          <w:rFonts w:ascii="宋体" w:hAnsi="宋体" w:cs="宋体"/>
          <w:sz w:val="22"/>
        </w:rPr>
      </w:pPr>
      <w:r>
        <w:rPr>
          <w:rFonts w:hint="eastAsia" w:ascii="宋体" w:hAnsi="宋体" w:cs="宋体"/>
          <w:sz w:val="22"/>
        </w:rPr>
        <w:t>供应商情况介绍</w:t>
      </w:r>
    </w:p>
    <w:p>
      <w:pPr>
        <w:numPr>
          <w:ilvl w:val="0"/>
          <w:numId w:val="5"/>
        </w:numPr>
        <w:spacing w:line="360" w:lineRule="auto"/>
        <w:ind w:left="420"/>
        <w:rPr>
          <w:rFonts w:ascii="宋体" w:hAnsi="宋体" w:cs="宋体"/>
          <w:sz w:val="22"/>
        </w:rPr>
      </w:pPr>
      <w:r>
        <w:rPr>
          <w:rFonts w:hint="eastAsia" w:ascii="宋体" w:hAnsi="宋体" w:cs="宋体"/>
          <w:sz w:val="22"/>
        </w:rPr>
        <w:t>项目主要管理及技术人员情况</w:t>
      </w:r>
    </w:p>
    <w:p>
      <w:pPr>
        <w:numPr>
          <w:ilvl w:val="0"/>
          <w:numId w:val="5"/>
        </w:numPr>
        <w:spacing w:line="360" w:lineRule="auto"/>
        <w:ind w:left="420"/>
      </w:pPr>
      <w:r>
        <w:rPr>
          <w:rFonts w:hint="eastAsia" w:ascii="宋体" w:hAnsi="宋体" w:cs="宋体"/>
          <w:sz w:val="22"/>
        </w:rPr>
        <w:t>项目实施方案</w:t>
      </w:r>
    </w:p>
    <w:p>
      <w:pPr>
        <w:numPr>
          <w:ilvl w:val="0"/>
          <w:numId w:val="5"/>
        </w:numPr>
        <w:spacing w:line="360" w:lineRule="auto"/>
        <w:ind w:left="420"/>
        <w:rPr>
          <w:rFonts w:ascii="宋体" w:hAnsi="宋体" w:cs="宋体"/>
          <w:sz w:val="22"/>
        </w:rPr>
      </w:pPr>
      <w:r>
        <w:rPr>
          <w:rFonts w:hint="eastAsia" w:ascii="宋体" w:hAnsi="宋体" w:cs="宋体"/>
          <w:sz w:val="22"/>
        </w:rPr>
        <w:t>售后服务方案</w:t>
      </w:r>
    </w:p>
    <w:p>
      <w:pPr>
        <w:numPr>
          <w:ilvl w:val="0"/>
          <w:numId w:val="5"/>
        </w:numPr>
        <w:spacing w:line="360" w:lineRule="auto"/>
        <w:ind w:left="420"/>
        <w:rPr>
          <w:rFonts w:ascii="宋体" w:hAnsi="宋体" w:cs="宋体"/>
          <w:sz w:val="22"/>
        </w:rPr>
      </w:pPr>
      <w:r>
        <w:rPr>
          <w:rFonts w:hint="eastAsia" w:ascii="宋体" w:hAnsi="宋体" w:cs="宋体"/>
          <w:sz w:val="22"/>
        </w:rPr>
        <w:t>商务条款偏离表</w:t>
      </w:r>
    </w:p>
    <w:p>
      <w:pPr>
        <w:numPr>
          <w:ilvl w:val="0"/>
          <w:numId w:val="5"/>
        </w:numPr>
        <w:spacing w:line="360" w:lineRule="auto"/>
        <w:ind w:left="420"/>
        <w:rPr>
          <w:rFonts w:ascii="宋体" w:hAnsi="宋体" w:cs="宋体"/>
          <w:sz w:val="22"/>
        </w:rPr>
      </w:pPr>
      <w:r>
        <w:rPr>
          <w:rFonts w:hint="eastAsia" w:ascii="宋体" w:hAnsi="宋体" w:cs="宋体"/>
          <w:sz w:val="22"/>
        </w:rPr>
        <w:t>技术规格偏离表</w:t>
      </w:r>
    </w:p>
    <w:p>
      <w:pPr>
        <w:numPr>
          <w:ilvl w:val="0"/>
          <w:numId w:val="5"/>
        </w:numPr>
        <w:spacing w:line="360" w:lineRule="auto"/>
        <w:ind w:left="420"/>
        <w:rPr>
          <w:rFonts w:ascii="宋体" w:hAnsi="宋体" w:cs="宋体"/>
          <w:sz w:val="22"/>
        </w:rPr>
      </w:pPr>
      <w:r>
        <w:rPr>
          <w:rFonts w:hint="eastAsia" w:ascii="宋体" w:hAnsi="宋体" w:cs="宋体"/>
          <w:sz w:val="22"/>
        </w:rPr>
        <w:t>中小企业、残疾人福利性单位和监狱企业政策导向</w:t>
      </w:r>
    </w:p>
    <w:p>
      <w:pPr>
        <w:numPr>
          <w:ilvl w:val="0"/>
          <w:numId w:val="5"/>
        </w:numPr>
        <w:spacing w:line="360" w:lineRule="auto"/>
        <w:ind w:left="420"/>
        <w:rPr>
          <w:rFonts w:ascii="宋体" w:hAnsi="宋体" w:cs="宋体"/>
          <w:sz w:val="22"/>
        </w:rPr>
      </w:pPr>
      <w:r>
        <w:rPr>
          <w:rFonts w:hint="eastAsia" w:ascii="宋体" w:hAnsi="宋体" w:cs="宋体"/>
          <w:sz w:val="22"/>
        </w:rPr>
        <w:t>招标文件要求的其他内容及投标人认为需要加以说明的其他内容</w:t>
      </w:r>
    </w:p>
    <w:p>
      <w:pPr>
        <w:numPr>
          <w:ilvl w:val="0"/>
          <w:numId w:val="6"/>
        </w:numPr>
        <w:jc w:val="center"/>
        <w:outlineLvl w:val="2"/>
        <w:rPr>
          <w:snapToGrid w:val="0"/>
          <w:kern w:val="0"/>
        </w:rPr>
      </w:pPr>
      <w:r>
        <w:rPr>
          <w:b/>
          <w:bCs/>
          <w:sz w:val="32"/>
          <w:szCs w:val="32"/>
        </w:rPr>
        <w:br w:type="page"/>
      </w:r>
      <w:r>
        <w:rPr>
          <w:b/>
          <w:bCs/>
          <w:sz w:val="32"/>
          <w:szCs w:val="32"/>
        </w:rPr>
        <w:t>评标指引表</w:t>
      </w:r>
    </w:p>
    <w:p>
      <w:pPr>
        <w:jc w:val="center"/>
        <w:rPr>
          <w:b/>
        </w:rPr>
      </w:pPr>
      <w:r>
        <w:rPr>
          <w:b/>
        </w:rPr>
        <w:t>（置于投标文件的首页）</w:t>
      </w:r>
    </w:p>
    <w:p>
      <w:pPr>
        <w:spacing w:line="360" w:lineRule="exact"/>
        <w:ind w:left="-420" w:leftChars="-200" w:right="-512" w:rightChars="-244" w:firstLine="440" w:firstLineChars="200"/>
        <w:rPr>
          <w:sz w:val="22"/>
        </w:rPr>
      </w:pPr>
      <w:r>
        <w:rPr>
          <w:sz w:val="22"/>
        </w:rPr>
        <w:t>为方便参与该项目的评委专家的评标，快速找到评标事项与该项目投标文件所对应的位置，请投标人参照下表格式，编制本项目评标指引表。</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3111"/>
        <w:gridCol w:w="1072"/>
        <w:gridCol w:w="1447"/>
        <w:gridCol w:w="1168"/>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000" w:type="pct"/>
            <w:gridSpan w:val="6"/>
          </w:tcPr>
          <w:p>
            <w:pPr>
              <w:spacing w:line="360" w:lineRule="exact"/>
              <w:jc w:val="center"/>
              <w:rPr>
                <w:b/>
                <w:sz w:val="22"/>
              </w:rPr>
            </w:pPr>
            <w:r>
              <w:rPr>
                <w:b/>
                <w:sz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62" w:type="pct"/>
          </w:tcPr>
          <w:p>
            <w:pPr>
              <w:spacing w:line="360" w:lineRule="exact"/>
              <w:jc w:val="center"/>
              <w:rPr>
                <w:b/>
                <w:sz w:val="22"/>
              </w:rPr>
            </w:pPr>
            <w:r>
              <w:rPr>
                <w:b/>
                <w:sz w:val="22"/>
              </w:rPr>
              <w:t>序号</w:t>
            </w:r>
          </w:p>
        </w:tc>
        <w:tc>
          <w:tcPr>
            <w:tcW w:w="1825" w:type="pct"/>
            <w:vAlign w:val="center"/>
          </w:tcPr>
          <w:p>
            <w:pPr>
              <w:spacing w:line="360" w:lineRule="exact"/>
              <w:jc w:val="center"/>
              <w:rPr>
                <w:b/>
                <w:sz w:val="22"/>
              </w:rPr>
            </w:pPr>
            <w:r>
              <w:rPr>
                <w:b/>
                <w:sz w:val="22"/>
              </w:rPr>
              <w:t>资格性检查项目</w:t>
            </w:r>
          </w:p>
        </w:tc>
        <w:tc>
          <w:tcPr>
            <w:tcW w:w="2163" w:type="pct"/>
            <w:gridSpan w:val="3"/>
            <w:vAlign w:val="center"/>
          </w:tcPr>
          <w:p>
            <w:pPr>
              <w:spacing w:line="360" w:lineRule="exact"/>
              <w:jc w:val="center"/>
              <w:rPr>
                <w:b/>
                <w:sz w:val="22"/>
              </w:rPr>
            </w:pPr>
            <w:r>
              <w:rPr>
                <w:b/>
                <w:sz w:val="22"/>
              </w:rPr>
              <w:t>证明文件</w:t>
            </w:r>
          </w:p>
        </w:tc>
        <w:tc>
          <w:tcPr>
            <w:tcW w:w="648" w:type="pct"/>
            <w:vAlign w:val="center"/>
          </w:tcPr>
          <w:p>
            <w:pPr>
              <w:spacing w:line="360" w:lineRule="exact"/>
              <w:jc w:val="center"/>
              <w:rPr>
                <w:b/>
                <w:sz w:val="22"/>
              </w:rPr>
            </w:pPr>
            <w:r>
              <w:rPr>
                <w:b/>
                <w:sz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62" w:type="pct"/>
          </w:tcPr>
          <w:p>
            <w:pPr>
              <w:spacing w:line="360" w:lineRule="exact"/>
              <w:jc w:val="center"/>
              <w:rPr>
                <w:b/>
                <w:sz w:val="22"/>
              </w:rPr>
            </w:pPr>
            <w:r>
              <w:rPr>
                <w:b/>
                <w:sz w:val="22"/>
              </w:rPr>
              <w:t>1</w:t>
            </w:r>
          </w:p>
        </w:tc>
        <w:tc>
          <w:tcPr>
            <w:tcW w:w="1825" w:type="pct"/>
            <w:vAlign w:val="center"/>
          </w:tcPr>
          <w:p>
            <w:pPr>
              <w:spacing w:line="360" w:lineRule="exact"/>
              <w:jc w:val="center"/>
              <w:rPr>
                <w:b/>
                <w:sz w:val="22"/>
              </w:rPr>
            </w:pPr>
          </w:p>
        </w:tc>
        <w:tc>
          <w:tcPr>
            <w:tcW w:w="2163" w:type="pct"/>
            <w:gridSpan w:val="3"/>
            <w:vAlign w:val="center"/>
          </w:tcPr>
          <w:p>
            <w:pPr>
              <w:spacing w:line="360" w:lineRule="exact"/>
              <w:jc w:val="center"/>
              <w:rPr>
                <w:b/>
                <w:sz w:val="22"/>
              </w:rPr>
            </w:pPr>
          </w:p>
        </w:tc>
        <w:tc>
          <w:tcPr>
            <w:tcW w:w="648" w:type="pct"/>
            <w:vAlign w:val="center"/>
          </w:tcPr>
          <w:p>
            <w:pPr>
              <w:spacing w:line="360" w:lineRule="exact"/>
              <w:jc w:val="cente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62" w:type="pct"/>
          </w:tcPr>
          <w:p>
            <w:pPr>
              <w:spacing w:line="360" w:lineRule="exact"/>
              <w:jc w:val="center"/>
              <w:rPr>
                <w:b/>
                <w:sz w:val="22"/>
              </w:rPr>
            </w:pPr>
            <w:r>
              <w:rPr>
                <w:b/>
                <w:sz w:val="22"/>
              </w:rPr>
              <w:t>2</w:t>
            </w:r>
          </w:p>
        </w:tc>
        <w:tc>
          <w:tcPr>
            <w:tcW w:w="1825" w:type="pct"/>
            <w:vAlign w:val="center"/>
          </w:tcPr>
          <w:p>
            <w:pPr>
              <w:spacing w:line="360" w:lineRule="exact"/>
              <w:jc w:val="center"/>
              <w:rPr>
                <w:b/>
                <w:sz w:val="22"/>
              </w:rPr>
            </w:pPr>
          </w:p>
        </w:tc>
        <w:tc>
          <w:tcPr>
            <w:tcW w:w="2163" w:type="pct"/>
            <w:gridSpan w:val="3"/>
            <w:vAlign w:val="center"/>
          </w:tcPr>
          <w:p>
            <w:pPr>
              <w:spacing w:line="360" w:lineRule="exact"/>
              <w:jc w:val="center"/>
              <w:rPr>
                <w:b/>
                <w:sz w:val="22"/>
              </w:rPr>
            </w:pPr>
          </w:p>
        </w:tc>
        <w:tc>
          <w:tcPr>
            <w:tcW w:w="648" w:type="pct"/>
            <w:vAlign w:val="center"/>
          </w:tcPr>
          <w:p>
            <w:pPr>
              <w:spacing w:line="360" w:lineRule="exact"/>
              <w:jc w:val="cente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62" w:type="pct"/>
          </w:tcPr>
          <w:p>
            <w:pPr>
              <w:spacing w:line="360" w:lineRule="exact"/>
              <w:jc w:val="center"/>
              <w:rPr>
                <w:b/>
                <w:sz w:val="22"/>
              </w:rPr>
            </w:pPr>
            <w:r>
              <w:rPr>
                <w:b/>
                <w:sz w:val="22"/>
              </w:rPr>
              <w:t>……</w:t>
            </w:r>
          </w:p>
        </w:tc>
        <w:tc>
          <w:tcPr>
            <w:tcW w:w="1825" w:type="pct"/>
            <w:vAlign w:val="center"/>
          </w:tcPr>
          <w:p>
            <w:pPr>
              <w:spacing w:line="360" w:lineRule="exact"/>
              <w:jc w:val="center"/>
              <w:rPr>
                <w:b/>
                <w:sz w:val="22"/>
              </w:rPr>
            </w:pPr>
            <w:r>
              <w:rPr>
                <w:b/>
                <w:sz w:val="22"/>
              </w:rPr>
              <w:t>…………</w:t>
            </w:r>
          </w:p>
        </w:tc>
        <w:tc>
          <w:tcPr>
            <w:tcW w:w="2163" w:type="pct"/>
            <w:gridSpan w:val="3"/>
            <w:vAlign w:val="center"/>
          </w:tcPr>
          <w:p>
            <w:pPr>
              <w:spacing w:line="360" w:lineRule="exact"/>
              <w:jc w:val="center"/>
              <w:rPr>
                <w:b/>
                <w:sz w:val="22"/>
              </w:rPr>
            </w:pPr>
          </w:p>
        </w:tc>
        <w:tc>
          <w:tcPr>
            <w:tcW w:w="648" w:type="pct"/>
            <w:vAlign w:val="center"/>
          </w:tcPr>
          <w:p>
            <w:pPr>
              <w:spacing w:line="360" w:lineRule="exact"/>
              <w:jc w:val="cente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000" w:type="pct"/>
            <w:gridSpan w:val="6"/>
          </w:tcPr>
          <w:p>
            <w:pPr>
              <w:spacing w:line="360" w:lineRule="exact"/>
              <w:jc w:val="center"/>
              <w:rPr>
                <w:b/>
                <w:sz w:val="22"/>
              </w:rPr>
            </w:pPr>
            <w:r>
              <w:rPr>
                <w:b/>
                <w:sz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62" w:type="pct"/>
          </w:tcPr>
          <w:p>
            <w:pPr>
              <w:spacing w:line="360" w:lineRule="exact"/>
              <w:jc w:val="center"/>
              <w:rPr>
                <w:b/>
                <w:sz w:val="22"/>
              </w:rPr>
            </w:pPr>
            <w:r>
              <w:rPr>
                <w:b/>
                <w:sz w:val="22"/>
              </w:rPr>
              <w:t>序号</w:t>
            </w:r>
          </w:p>
        </w:tc>
        <w:tc>
          <w:tcPr>
            <w:tcW w:w="1825" w:type="pct"/>
            <w:vAlign w:val="center"/>
          </w:tcPr>
          <w:p>
            <w:pPr>
              <w:spacing w:line="360" w:lineRule="exact"/>
              <w:jc w:val="center"/>
              <w:rPr>
                <w:b/>
                <w:sz w:val="22"/>
              </w:rPr>
            </w:pPr>
            <w:r>
              <w:rPr>
                <w:b/>
                <w:sz w:val="22"/>
              </w:rPr>
              <w:t>符合性检查项目</w:t>
            </w:r>
          </w:p>
        </w:tc>
        <w:tc>
          <w:tcPr>
            <w:tcW w:w="2163" w:type="pct"/>
            <w:gridSpan w:val="3"/>
            <w:vAlign w:val="center"/>
          </w:tcPr>
          <w:p>
            <w:pPr>
              <w:spacing w:line="360" w:lineRule="exact"/>
              <w:jc w:val="center"/>
              <w:rPr>
                <w:b/>
                <w:sz w:val="22"/>
              </w:rPr>
            </w:pPr>
            <w:r>
              <w:rPr>
                <w:b/>
                <w:sz w:val="22"/>
              </w:rPr>
              <w:t>说明</w:t>
            </w:r>
          </w:p>
        </w:tc>
        <w:tc>
          <w:tcPr>
            <w:tcW w:w="648" w:type="pct"/>
            <w:vAlign w:val="center"/>
          </w:tcPr>
          <w:p>
            <w:pPr>
              <w:spacing w:line="360" w:lineRule="exact"/>
              <w:jc w:val="center"/>
              <w:rPr>
                <w:b/>
                <w:sz w:val="22"/>
              </w:rPr>
            </w:pPr>
            <w:r>
              <w:rPr>
                <w:b/>
                <w:sz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62" w:type="pct"/>
          </w:tcPr>
          <w:p>
            <w:pPr>
              <w:spacing w:line="360" w:lineRule="exact"/>
              <w:jc w:val="center"/>
              <w:rPr>
                <w:b/>
                <w:sz w:val="22"/>
              </w:rPr>
            </w:pPr>
            <w:r>
              <w:rPr>
                <w:b/>
                <w:sz w:val="22"/>
              </w:rPr>
              <w:t>1</w:t>
            </w:r>
          </w:p>
        </w:tc>
        <w:tc>
          <w:tcPr>
            <w:tcW w:w="1825" w:type="pct"/>
          </w:tcPr>
          <w:p>
            <w:pPr>
              <w:spacing w:line="360" w:lineRule="exact"/>
              <w:jc w:val="center"/>
              <w:rPr>
                <w:b/>
                <w:sz w:val="22"/>
              </w:rPr>
            </w:pPr>
          </w:p>
        </w:tc>
        <w:tc>
          <w:tcPr>
            <w:tcW w:w="2163" w:type="pct"/>
            <w:gridSpan w:val="3"/>
            <w:vAlign w:val="center"/>
          </w:tcPr>
          <w:p>
            <w:pPr>
              <w:spacing w:line="360" w:lineRule="exact"/>
              <w:jc w:val="center"/>
              <w:rPr>
                <w:b/>
                <w:sz w:val="22"/>
              </w:rPr>
            </w:pPr>
          </w:p>
        </w:tc>
        <w:tc>
          <w:tcPr>
            <w:tcW w:w="648" w:type="pct"/>
            <w:vAlign w:val="center"/>
          </w:tcPr>
          <w:p>
            <w:pPr>
              <w:spacing w:line="360" w:lineRule="exact"/>
              <w:jc w:val="cente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62" w:type="pct"/>
          </w:tcPr>
          <w:p>
            <w:pPr>
              <w:spacing w:line="360" w:lineRule="exact"/>
              <w:jc w:val="center"/>
              <w:rPr>
                <w:b/>
                <w:sz w:val="22"/>
              </w:rPr>
            </w:pPr>
            <w:r>
              <w:rPr>
                <w:b/>
                <w:sz w:val="22"/>
              </w:rPr>
              <w:t>2</w:t>
            </w:r>
          </w:p>
        </w:tc>
        <w:tc>
          <w:tcPr>
            <w:tcW w:w="1825" w:type="pct"/>
          </w:tcPr>
          <w:p>
            <w:pPr>
              <w:spacing w:line="360" w:lineRule="exact"/>
              <w:jc w:val="center"/>
              <w:rPr>
                <w:b/>
                <w:sz w:val="22"/>
              </w:rPr>
            </w:pPr>
          </w:p>
        </w:tc>
        <w:tc>
          <w:tcPr>
            <w:tcW w:w="2163" w:type="pct"/>
            <w:gridSpan w:val="3"/>
            <w:vAlign w:val="center"/>
          </w:tcPr>
          <w:p>
            <w:pPr>
              <w:spacing w:line="360" w:lineRule="exact"/>
              <w:jc w:val="center"/>
              <w:rPr>
                <w:b/>
                <w:sz w:val="22"/>
              </w:rPr>
            </w:pPr>
          </w:p>
        </w:tc>
        <w:tc>
          <w:tcPr>
            <w:tcW w:w="648" w:type="pct"/>
            <w:vAlign w:val="center"/>
          </w:tcPr>
          <w:p>
            <w:pPr>
              <w:spacing w:line="360" w:lineRule="exact"/>
              <w:jc w:val="cente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62" w:type="pct"/>
          </w:tcPr>
          <w:p>
            <w:pPr>
              <w:spacing w:line="360" w:lineRule="exact"/>
              <w:jc w:val="center"/>
              <w:rPr>
                <w:b/>
                <w:sz w:val="22"/>
              </w:rPr>
            </w:pPr>
            <w:r>
              <w:rPr>
                <w:b/>
                <w:sz w:val="22"/>
              </w:rPr>
              <w:t>3</w:t>
            </w:r>
          </w:p>
        </w:tc>
        <w:tc>
          <w:tcPr>
            <w:tcW w:w="1825" w:type="pct"/>
          </w:tcPr>
          <w:p>
            <w:pPr>
              <w:spacing w:line="360" w:lineRule="exact"/>
              <w:jc w:val="center"/>
              <w:rPr>
                <w:b/>
                <w:sz w:val="22"/>
              </w:rPr>
            </w:pPr>
          </w:p>
        </w:tc>
        <w:tc>
          <w:tcPr>
            <w:tcW w:w="2163" w:type="pct"/>
            <w:gridSpan w:val="3"/>
            <w:vAlign w:val="center"/>
          </w:tcPr>
          <w:p>
            <w:pPr>
              <w:spacing w:line="360" w:lineRule="exact"/>
              <w:jc w:val="center"/>
              <w:rPr>
                <w:b/>
                <w:sz w:val="22"/>
              </w:rPr>
            </w:pPr>
          </w:p>
        </w:tc>
        <w:tc>
          <w:tcPr>
            <w:tcW w:w="648" w:type="pct"/>
            <w:vAlign w:val="center"/>
          </w:tcPr>
          <w:p>
            <w:pPr>
              <w:spacing w:line="360" w:lineRule="exact"/>
              <w:jc w:val="cente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62" w:type="pct"/>
          </w:tcPr>
          <w:p>
            <w:pPr>
              <w:spacing w:line="360" w:lineRule="exact"/>
              <w:jc w:val="center"/>
              <w:rPr>
                <w:b/>
                <w:sz w:val="22"/>
              </w:rPr>
            </w:pPr>
            <w:r>
              <w:rPr>
                <w:b/>
                <w:sz w:val="22"/>
              </w:rPr>
              <w:t>4</w:t>
            </w:r>
          </w:p>
        </w:tc>
        <w:tc>
          <w:tcPr>
            <w:tcW w:w="1825" w:type="pct"/>
          </w:tcPr>
          <w:p>
            <w:pPr>
              <w:spacing w:line="360" w:lineRule="exact"/>
              <w:jc w:val="center"/>
              <w:rPr>
                <w:b/>
                <w:sz w:val="22"/>
              </w:rPr>
            </w:pPr>
          </w:p>
        </w:tc>
        <w:tc>
          <w:tcPr>
            <w:tcW w:w="2163" w:type="pct"/>
            <w:gridSpan w:val="3"/>
            <w:vAlign w:val="center"/>
          </w:tcPr>
          <w:p>
            <w:pPr>
              <w:spacing w:line="360" w:lineRule="exact"/>
              <w:jc w:val="center"/>
              <w:rPr>
                <w:b/>
                <w:sz w:val="22"/>
              </w:rPr>
            </w:pPr>
          </w:p>
        </w:tc>
        <w:tc>
          <w:tcPr>
            <w:tcW w:w="648" w:type="pct"/>
            <w:vAlign w:val="center"/>
          </w:tcPr>
          <w:p>
            <w:pPr>
              <w:spacing w:line="360" w:lineRule="exact"/>
              <w:jc w:val="cente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62" w:type="pct"/>
          </w:tcPr>
          <w:p>
            <w:pPr>
              <w:spacing w:line="360" w:lineRule="exact"/>
              <w:jc w:val="center"/>
              <w:rPr>
                <w:b/>
                <w:sz w:val="22"/>
              </w:rPr>
            </w:pPr>
            <w:r>
              <w:rPr>
                <w:b/>
                <w:sz w:val="22"/>
              </w:rPr>
              <w:t>5</w:t>
            </w:r>
          </w:p>
        </w:tc>
        <w:tc>
          <w:tcPr>
            <w:tcW w:w="1825" w:type="pct"/>
          </w:tcPr>
          <w:p>
            <w:pPr>
              <w:spacing w:line="360" w:lineRule="exact"/>
              <w:jc w:val="center"/>
              <w:rPr>
                <w:sz w:val="22"/>
              </w:rPr>
            </w:pPr>
          </w:p>
        </w:tc>
        <w:tc>
          <w:tcPr>
            <w:tcW w:w="2163" w:type="pct"/>
            <w:gridSpan w:val="3"/>
            <w:vAlign w:val="center"/>
          </w:tcPr>
          <w:p>
            <w:pPr>
              <w:spacing w:line="360" w:lineRule="exact"/>
              <w:jc w:val="center"/>
              <w:rPr>
                <w:b/>
                <w:sz w:val="22"/>
              </w:rPr>
            </w:pPr>
          </w:p>
        </w:tc>
        <w:tc>
          <w:tcPr>
            <w:tcW w:w="648" w:type="pct"/>
            <w:vAlign w:val="center"/>
          </w:tcPr>
          <w:p>
            <w:pPr>
              <w:spacing w:line="360" w:lineRule="exact"/>
              <w:jc w:val="cente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62" w:type="pct"/>
          </w:tcPr>
          <w:p>
            <w:pPr>
              <w:spacing w:line="360" w:lineRule="exact"/>
              <w:jc w:val="center"/>
              <w:rPr>
                <w:b/>
                <w:sz w:val="22"/>
              </w:rPr>
            </w:pPr>
            <w:r>
              <w:rPr>
                <w:b/>
                <w:sz w:val="22"/>
              </w:rPr>
              <w:t>6</w:t>
            </w:r>
          </w:p>
        </w:tc>
        <w:tc>
          <w:tcPr>
            <w:tcW w:w="1825" w:type="pct"/>
          </w:tcPr>
          <w:p>
            <w:pPr>
              <w:spacing w:line="360" w:lineRule="exact"/>
              <w:jc w:val="center"/>
              <w:rPr>
                <w:sz w:val="22"/>
              </w:rPr>
            </w:pPr>
          </w:p>
        </w:tc>
        <w:tc>
          <w:tcPr>
            <w:tcW w:w="2163" w:type="pct"/>
            <w:gridSpan w:val="3"/>
            <w:vAlign w:val="center"/>
          </w:tcPr>
          <w:p>
            <w:pPr>
              <w:spacing w:line="360" w:lineRule="exact"/>
              <w:jc w:val="center"/>
              <w:rPr>
                <w:b/>
                <w:sz w:val="22"/>
              </w:rPr>
            </w:pPr>
          </w:p>
        </w:tc>
        <w:tc>
          <w:tcPr>
            <w:tcW w:w="648" w:type="pct"/>
            <w:vAlign w:val="center"/>
          </w:tcPr>
          <w:p>
            <w:pPr>
              <w:spacing w:line="360" w:lineRule="exact"/>
              <w:jc w:val="cente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62" w:type="pct"/>
          </w:tcPr>
          <w:p>
            <w:pPr>
              <w:spacing w:line="360" w:lineRule="exact"/>
              <w:jc w:val="center"/>
              <w:rPr>
                <w:b/>
                <w:sz w:val="22"/>
              </w:rPr>
            </w:pPr>
            <w:r>
              <w:rPr>
                <w:b/>
                <w:sz w:val="22"/>
              </w:rPr>
              <w:t>7</w:t>
            </w:r>
          </w:p>
        </w:tc>
        <w:tc>
          <w:tcPr>
            <w:tcW w:w="1825" w:type="pct"/>
          </w:tcPr>
          <w:p>
            <w:pPr>
              <w:spacing w:line="360" w:lineRule="exact"/>
              <w:jc w:val="center"/>
              <w:rPr>
                <w:sz w:val="22"/>
              </w:rPr>
            </w:pPr>
          </w:p>
        </w:tc>
        <w:tc>
          <w:tcPr>
            <w:tcW w:w="2163" w:type="pct"/>
            <w:gridSpan w:val="3"/>
            <w:vAlign w:val="center"/>
          </w:tcPr>
          <w:p>
            <w:pPr>
              <w:spacing w:line="360" w:lineRule="exact"/>
              <w:jc w:val="center"/>
              <w:rPr>
                <w:b/>
                <w:sz w:val="22"/>
              </w:rPr>
            </w:pPr>
          </w:p>
        </w:tc>
        <w:tc>
          <w:tcPr>
            <w:tcW w:w="648" w:type="pct"/>
            <w:vAlign w:val="center"/>
          </w:tcPr>
          <w:p>
            <w:pPr>
              <w:spacing w:line="360" w:lineRule="exact"/>
              <w:jc w:val="cente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62" w:type="pct"/>
          </w:tcPr>
          <w:p>
            <w:pPr>
              <w:spacing w:line="360" w:lineRule="exact"/>
              <w:jc w:val="center"/>
              <w:rPr>
                <w:b/>
                <w:sz w:val="22"/>
              </w:rPr>
            </w:pPr>
            <w:r>
              <w:rPr>
                <w:b/>
                <w:sz w:val="22"/>
              </w:rPr>
              <w:t>8</w:t>
            </w:r>
          </w:p>
        </w:tc>
        <w:tc>
          <w:tcPr>
            <w:tcW w:w="1825" w:type="pct"/>
          </w:tcPr>
          <w:p>
            <w:pPr>
              <w:spacing w:line="360" w:lineRule="exact"/>
              <w:jc w:val="center"/>
              <w:rPr>
                <w:b/>
                <w:sz w:val="22"/>
              </w:rPr>
            </w:pPr>
          </w:p>
        </w:tc>
        <w:tc>
          <w:tcPr>
            <w:tcW w:w="2163" w:type="pct"/>
            <w:gridSpan w:val="3"/>
            <w:vAlign w:val="center"/>
          </w:tcPr>
          <w:p>
            <w:pPr>
              <w:spacing w:line="360" w:lineRule="exact"/>
              <w:jc w:val="center"/>
              <w:rPr>
                <w:b/>
                <w:sz w:val="22"/>
              </w:rPr>
            </w:pPr>
          </w:p>
        </w:tc>
        <w:tc>
          <w:tcPr>
            <w:tcW w:w="648" w:type="pct"/>
            <w:vAlign w:val="center"/>
          </w:tcPr>
          <w:p>
            <w:pPr>
              <w:spacing w:line="360" w:lineRule="exact"/>
              <w:jc w:val="cente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000" w:type="pct"/>
            <w:gridSpan w:val="6"/>
          </w:tcPr>
          <w:p>
            <w:pPr>
              <w:spacing w:line="360" w:lineRule="exact"/>
              <w:jc w:val="center"/>
              <w:rPr>
                <w:b/>
                <w:sz w:val="22"/>
              </w:rPr>
            </w:pPr>
            <w:r>
              <w:rPr>
                <w:b/>
                <w:sz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62" w:type="pct"/>
          </w:tcPr>
          <w:p>
            <w:pPr>
              <w:spacing w:line="360" w:lineRule="exact"/>
              <w:jc w:val="center"/>
              <w:rPr>
                <w:b/>
                <w:sz w:val="22"/>
              </w:rPr>
            </w:pPr>
            <w:r>
              <w:rPr>
                <w:b/>
                <w:sz w:val="22"/>
              </w:rPr>
              <w:t>评分类别</w:t>
            </w:r>
          </w:p>
        </w:tc>
        <w:tc>
          <w:tcPr>
            <w:tcW w:w="2454" w:type="pct"/>
            <w:gridSpan w:val="2"/>
            <w:vAlign w:val="center"/>
          </w:tcPr>
          <w:p>
            <w:pPr>
              <w:spacing w:line="360" w:lineRule="exact"/>
              <w:jc w:val="center"/>
              <w:rPr>
                <w:b/>
                <w:sz w:val="22"/>
              </w:rPr>
            </w:pPr>
            <w:r>
              <w:rPr>
                <w:b/>
                <w:sz w:val="22"/>
              </w:rPr>
              <w:t>评分项目</w:t>
            </w:r>
          </w:p>
        </w:tc>
        <w:tc>
          <w:tcPr>
            <w:tcW w:w="849" w:type="pct"/>
            <w:vAlign w:val="center"/>
          </w:tcPr>
          <w:p>
            <w:pPr>
              <w:spacing w:line="360" w:lineRule="exact"/>
              <w:jc w:val="center"/>
              <w:rPr>
                <w:b/>
                <w:sz w:val="22"/>
              </w:rPr>
            </w:pPr>
            <w:r>
              <w:rPr>
                <w:b/>
                <w:sz w:val="22"/>
              </w:rPr>
              <w:t>分值</w:t>
            </w:r>
          </w:p>
          <w:p>
            <w:pPr>
              <w:spacing w:line="360" w:lineRule="exact"/>
              <w:jc w:val="center"/>
              <w:rPr>
                <w:b/>
                <w:sz w:val="22"/>
              </w:rPr>
            </w:pPr>
            <w:r>
              <w:rPr>
                <w:b/>
                <w:sz w:val="22"/>
              </w:rPr>
              <w:t>（或权重）</w:t>
            </w:r>
          </w:p>
        </w:tc>
        <w:tc>
          <w:tcPr>
            <w:tcW w:w="685" w:type="pct"/>
            <w:vAlign w:val="center"/>
          </w:tcPr>
          <w:p>
            <w:pPr>
              <w:spacing w:line="360" w:lineRule="exact"/>
              <w:jc w:val="center"/>
              <w:rPr>
                <w:b/>
                <w:sz w:val="22"/>
              </w:rPr>
            </w:pPr>
            <w:r>
              <w:rPr>
                <w:b/>
                <w:sz w:val="22"/>
              </w:rPr>
              <w:t>对应章节</w:t>
            </w:r>
          </w:p>
        </w:tc>
        <w:tc>
          <w:tcPr>
            <w:tcW w:w="648" w:type="pct"/>
            <w:vAlign w:val="center"/>
          </w:tcPr>
          <w:p>
            <w:pPr>
              <w:spacing w:line="360" w:lineRule="exact"/>
              <w:jc w:val="center"/>
              <w:rPr>
                <w:b/>
                <w:sz w:val="22"/>
              </w:rPr>
            </w:pPr>
            <w:r>
              <w:rPr>
                <w:b/>
                <w:sz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362" w:type="pct"/>
            <w:vMerge w:val="restart"/>
            <w:vAlign w:val="center"/>
          </w:tcPr>
          <w:p>
            <w:pPr>
              <w:spacing w:line="360" w:lineRule="exact"/>
              <w:jc w:val="center"/>
              <w:rPr>
                <w:b/>
                <w:sz w:val="22"/>
              </w:rPr>
            </w:pPr>
            <w:r>
              <w:rPr>
                <w:rFonts w:hint="eastAsia"/>
                <w:b/>
                <w:sz w:val="22"/>
              </w:rPr>
              <w:t>技术</w:t>
            </w:r>
            <w:r>
              <w:rPr>
                <w:b/>
                <w:sz w:val="22"/>
              </w:rPr>
              <w:t>部分</w:t>
            </w:r>
          </w:p>
        </w:tc>
        <w:tc>
          <w:tcPr>
            <w:tcW w:w="2454" w:type="pct"/>
            <w:gridSpan w:val="2"/>
          </w:tcPr>
          <w:p>
            <w:pPr>
              <w:spacing w:line="360" w:lineRule="exact"/>
              <w:jc w:val="center"/>
              <w:rPr>
                <w:b/>
                <w:sz w:val="22"/>
              </w:rPr>
            </w:pPr>
            <w:r>
              <w:rPr>
                <w:b/>
                <w:sz w:val="22"/>
              </w:rPr>
              <w:t>1.…………</w:t>
            </w:r>
          </w:p>
        </w:tc>
        <w:tc>
          <w:tcPr>
            <w:tcW w:w="849" w:type="pct"/>
          </w:tcPr>
          <w:p>
            <w:pPr>
              <w:spacing w:line="360" w:lineRule="exact"/>
              <w:jc w:val="center"/>
              <w:rPr>
                <w:b/>
                <w:sz w:val="22"/>
              </w:rPr>
            </w:pPr>
          </w:p>
        </w:tc>
        <w:tc>
          <w:tcPr>
            <w:tcW w:w="685" w:type="pct"/>
          </w:tcPr>
          <w:p>
            <w:pPr>
              <w:spacing w:line="360" w:lineRule="exact"/>
              <w:jc w:val="center"/>
              <w:rPr>
                <w:b/>
                <w:sz w:val="22"/>
              </w:rPr>
            </w:pPr>
          </w:p>
        </w:tc>
        <w:tc>
          <w:tcPr>
            <w:tcW w:w="648" w:type="pct"/>
          </w:tcPr>
          <w:p>
            <w:pPr>
              <w:spacing w:line="360" w:lineRule="exact"/>
              <w:jc w:val="cente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362" w:type="pct"/>
            <w:vMerge w:val="continue"/>
            <w:vAlign w:val="center"/>
          </w:tcPr>
          <w:p>
            <w:pPr>
              <w:spacing w:line="360" w:lineRule="exact"/>
              <w:jc w:val="center"/>
              <w:rPr>
                <w:b/>
                <w:sz w:val="22"/>
              </w:rPr>
            </w:pPr>
          </w:p>
        </w:tc>
        <w:tc>
          <w:tcPr>
            <w:tcW w:w="2454" w:type="pct"/>
            <w:gridSpan w:val="2"/>
          </w:tcPr>
          <w:p>
            <w:pPr>
              <w:spacing w:line="360" w:lineRule="exact"/>
              <w:jc w:val="center"/>
              <w:rPr>
                <w:b/>
                <w:sz w:val="22"/>
              </w:rPr>
            </w:pPr>
            <w:r>
              <w:rPr>
                <w:b/>
                <w:sz w:val="22"/>
              </w:rPr>
              <w:t>2.…………</w:t>
            </w:r>
          </w:p>
        </w:tc>
        <w:tc>
          <w:tcPr>
            <w:tcW w:w="849" w:type="pct"/>
          </w:tcPr>
          <w:p>
            <w:pPr>
              <w:spacing w:line="360" w:lineRule="exact"/>
              <w:jc w:val="center"/>
              <w:rPr>
                <w:b/>
                <w:sz w:val="22"/>
              </w:rPr>
            </w:pPr>
          </w:p>
        </w:tc>
        <w:tc>
          <w:tcPr>
            <w:tcW w:w="685" w:type="pct"/>
          </w:tcPr>
          <w:p>
            <w:pPr>
              <w:spacing w:line="360" w:lineRule="exact"/>
              <w:jc w:val="center"/>
              <w:rPr>
                <w:b/>
                <w:sz w:val="22"/>
              </w:rPr>
            </w:pPr>
          </w:p>
        </w:tc>
        <w:tc>
          <w:tcPr>
            <w:tcW w:w="648" w:type="pct"/>
          </w:tcPr>
          <w:p>
            <w:pPr>
              <w:spacing w:line="360" w:lineRule="exact"/>
              <w:jc w:val="cente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362" w:type="pct"/>
            <w:vMerge w:val="continue"/>
            <w:vAlign w:val="center"/>
          </w:tcPr>
          <w:p>
            <w:pPr>
              <w:spacing w:line="360" w:lineRule="exact"/>
              <w:jc w:val="center"/>
              <w:rPr>
                <w:b/>
                <w:sz w:val="22"/>
              </w:rPr>
            </w:pPr>
          </w:p>
        </w:tc>
        <w:tc>
          <w:tcPr>
            <w:tcW w:w="2454" w:type="pct"/>
            <w:gridSpan w:val="2"/>
          </w:tcPr>
          <w:p>
            <w:pPr>
              <w:spacing w:line="360" w:lineRule="exact"/>
              <w:jc w:val="center"/>
              <w:rPr>
                <w:b/>
                <w:sz w:val="22"/>
              </w:rPr>
            </w:pPr>
            <w:r>
              <w:rPr>
                <w:b/>
                <w:sz w:val="22"/>
              </w:rPr>
              <w:t>…………</w:t>
            </w:r>
          </w:p>
        </w:tc>
        <w:tc>
          <w:tcPr>
            <w:tcW w:w="849" w:type="pct"/>
          </w:tcPr>
          <w:p>
            <w:pPr>
              <w:spacing w:line="360" w:lineRule="exact"/>
              <w:jc w:val="center"/>
              <w:rPr>
                <w:b/>
                <w:sz w:val="22"/>
              </w:rPr>
            </w:pPr>
          </w:p>
        </w:tc>
        <w:tc>
          <w:tcPr>
            <w:tcW w:w="685" w:type="pct"/>
          </w:tcPr>
          <w:p>
            <w:pPr>
              <w:spacing w:line="360" w:lineRule="exact"/>
              <w:jc w:val="center"/>
              <w:rPr>
                <w:b/>
                <w:sz w:val="22"/>
              </w:rPr>
            </w:pPr>
          </w:p>
        </w:tc>
        <w:tc>
          <w:tcPr>
            <w:tcW w:w="648" w:type="pct"/>
          </w:tcPr>
          <w:p>
            <w:pPr>
              <w:spacing w:line="360" w:lineRule="exact"/>
              <w:jc w:val="cente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62" w:type="pct"/>
            <w:vMerge w:val="restart"/>
            <w:vAlign w:val="center"/>
          </w:tcPr>
          <w:p>
            <w:pPr>
              <w:spacing w:line="360" w:lineRule="exact"/>
              <w:jc w:val="center"/>
              <w:rPr>
                <w:b/>
                <w:sz w:val="22"/>
              </w:rPr>
            </w:pPr>
            <w:r>
              <w:rPr>
                <w:rFonts w:hint="eastAsia"/>
                <w:b/>
                <w:sz w:val="22"/>
              </w:rPr>
              <w:t>商务</w:t>
            </w:r>
            <w:r>
              <w:rPr>
                <w:b/>
                <w:sz w:val="22"/>
              </w:rPr>
              <w:t>部分</w:t>
            </w:r>
          </w:p>
        </w:tc>
        <w:tc>
          <w:tcPr>
            <w:tcW w:w="2454" w:type="pct"/>
            <w:gridSpan w:val="2"/>
          </w:tcPr>
          <w:p>
            <w:pPr>
              <w:spacing w:line="360" w:lineRule="exact"/>
              <w:jc w:val="center"/>
              <w:rPr>
                <w:b/>
                <w:sz w:val="22"/>
              </w:rPr>
            </w:pPr>
            <w:r>
              <w:rPr>
                <w:b/>
                <w:sz w:val="22"/>
              </w:rPr>
              <w:t>1.…………</w:t>
            </w:r>
          </w:p>
        </w:tc>
        <w:tc>
          <w:tcPr>
            <w:tcW w:w="849" w:type="pct"/>
          </w:tcPr>
          <w:p>
            <w:pPr>
              <w:spacing w:line="360" w:lineRule="exact"/>
              <w:jc w:val="center"/>
              <w:rPr>
                <w:b/>
                <w:sz w:val="22"/>
              </w:rPr>
            </w:pPr>
          </w:p>
        </w:tc>
        <w:tc>
          <w:tcPr>
            <w:tcW w:w="685" w:type="pct"/>
          </w:tcPr>
          <w:p>
            <w:pPr>
              <w:spacing w:line="360" w:lineRule="exact"/>
              <w:jc w:val="center"/>
              <w:rPr>
                <w:b/>
                <w:sz w:val="22"/>
              </w:rPr>
            </w:pPr>
          </w:p>
        </w:tc>
        <w:tc>
          <w:tcPr>
            <w:tcW w:w="648" w:type="pct"/>
          </w:tcPr>
          <w:p>
            <w:pPr>
              <w:spacing w:line="360" w:lineRule="exact"/>
              <w:jc w:val="cente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62" w:type="pct"/>
            <w:vMerge w:val="continue"/>
          </w:tcPr>
          <w:p>
            <w:pPr>
              <w:spacing w:line="360" w:lineRule="exact"/>
              <w:jc w:val="center"/>
              <w:rPr>
                <w:b/>
                <w:sz w:val="22"/>
              </w:rPr>
            </w:pPr>
          </w:p>
        </w:tc>
        <w:tc>
          <w:tcPr>
            <w:tcW w:w="2454" w:type="pct"/>
            <w:gridSpan w:val="2"/>
          </w:tcPr>
          <w:p>
            <w:pPr>
              <w:spacing w:line="360" w:lineRule="exact"/>
              <w:jc w:val="center"/>
              <w:rPr>
                <w:b/>
                <w:sz w:val="22"/>
              </w:rPr>
            </w:pPr>
            <w:r>
              <w:rPr>
                <w:b/>
                <w:sz w:val="22"/>
              </w:rPr>
              <w:t>2.…………</w:t>
            </w:r>
          </w:p>
        </w:tc>
        <w:tc>
          <w:tcPr>
            <w:tcW w:w="849" w:type="pct"/>
          </w:tcPr>
          <w:p>
            <w:pPr>
              <w:spacing w:line="360" w:lineRule="exact"/>
              <w:jc w:val="center"/>
              <w:rPr>
                <w:b/>
                <w:sz w:val="22"/>
              </w:rPr>
            </w:pPr>
          </w:p>
        </w:tc>
        <w:tc>
          <w:tcPr>
            <w:tcW w:w="685" w:type="pct"/>
          </w:tcPr>
          <w:p>
            <w:pPr>
              <w:spacing w:line="360" w:lineRule="exact"/>
              <w:jc w:val="center"/>
              <w:rPr>
                <w:b/>
                <w:sz w:val="22"/>
              </w:rPr>
            </w:pPr>
          </w:p>
        </w:tc>
        <w:tc>
          <w:tcPr>
            <w:tcW w:w="648" w:type="pct"/>
          </w:tcPr>
          <w:p>
            <w:pPr>
              <w:spacing w:line="360" w:lineRule="exact"/>
              <w:jc w:val="cente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62" w:type="pct"/>
            <w:vMerge w:val="continue"/>
          </w:tcPr>
          <w:p>
            <w:pPr>
              <w:spacing w:line="360" w:lineRule="exact"/>
              <w:jc w:val="center"/>
              <w:rPr>
                <w:b/>
                <w:sz w:val="22"/>
              </w:rPr>
            </w:pPr>
          </w:p>
        </w:tc>
        <w:tc>
          <w:tcPr>
            <w:tcW w:w="2454" w:type="pct"/>
            <w:gridSpan w:val="2"/>
          </w:tcPr>
          <w:p>
            <w:pPr>
              <w:spacing w:line="360" w:lineRule="exact"/>
              <w:jc w:val="center"/>
              <w:rPr>
                <w:b/>
                <w:sz w:val="22"/>
              </w:rPr>
            </w:pPr>
            <w:r>
              <w:rPr>
                <w:b/>
                <w:sz w:val="22"/>
              </w:rPr>
              <w:t>…………</w:t>
            </w:r>
          </w:p>
        </w:tc>
        <w:tc>
          <w:tcPr>
            <w:tcW w:w="849" w:type="pct"/>
          </w:tcPr>
          <w:p>
            <w:pPr>
              <w:spacing w:line="360" w:lineRule="exact"/>
              <w:jc w:val="center"/>
              <w:rPr>
                <w:b/>
                <w:sz w:val="22"/>
              </w:rPr>
            </w:pPr>
          </w:p>
        </w:tc>
        <w:tc>
          <w:tcPr>
            <w:tcW w:w="685" w:type="pct"/>
          </w:tcPr>
          <w:p>
            <w:pPr>
              <w:spacing w:line="360" w:lineRule="exact"/>
              <w:jc w:val="center"/>
              <w:rPr>
                <w:b/>
                <w:sz w:val="22"/>
              </w:rPr>
            </w:pPr>
          </w:p>
        </w:tc>
        <w:tc>
          <w:tcPr>
            <w:tcW w:w="648" w:type="pct"/>
          </w:tcPr>
          <w:p>
            <w:pPr>
              <w:spacing w:line="360" w:lineRule="exact"/>
              <w:jc w:val="center"/>
              <w:rPr>
                <w:b/>
                <w:sz w:val="22"/>
              </w:rPr>
            </w:pPr>
          </w:p>
        </w:tc>
      </w:tr>
    </w:tbl>
    <w:p>
      <w:pPr>
        <w:rPr>
          <w:rFonts w:cs="宋体"/>
          <w:b/>
          <w:szCs w:val="21"/>
        </w:rPr>
      </w:pPr>
      <w:r>
        <w:rPr>
          <w:rFonts w:hint="eastAsia" w:cs="宋体"/>
          <w:b/>
          <w:szCs w:val="21"/>
        </w:rPr>
        <w:t>注：请投标人按照“关键信息——投标文件初审表、评标信息”的审查和评分内容，自上而下的顺序填写本表。因项目次序混乱而影响评标效率及评标结果者，投标人自负其责。</w:t>
      </w:r>
    </w:p>
    <w:p>
      <w:pPr>
        <w:spacing w:line="360" w:lineRule="auto"/>
        <w:rPr>
          <w:sz w:val="22"/>
        </w:rPr>
      </w:pPr>
    </w:p>
    <w:p>
      <w:pPr>
        <w:numPr>
          <w:ilvl w:val="0"/>
          <w:numId w:val="6"/>
        </w:numPr>
        <w:jc w:val="center"/>
        <w:outlineLvl w:val="2"/>
        <w:rPr>
          <w:rFonts w:ascii="宋体" w:hAnsi="宋体" w:cs="宋体"/>
          <w:b/>
          <w:sz w:val="32"/>
          <w:szCs w:val="32"/>
        </w:rPr>
      </w:pPr>
      <w:r>
        <w:rPr>
          <w:rFonts w:hint="eastAsia" w:ascii="宋体" w:hAnsi="宋体" w:cs="宋体"/>
          <w:b/>
          <w:sz w:val="32"/>
          <w:szCs w:val="32"/>
        </w:rPr>
        <w:t>投标函</w:t>
      </w:r>
    </w:p>
    <w:p>
      <w:pPr>
        <w:spacing w:line="360" w:lineRule="exact"/>
        <w:rPr>
          <w:rFonts w:ascii="宋体" w:hAnsi="宋体" w:cs="宋体"/>
          <w:color w:val="000000"/>
          <w:sz w:val="22"/>
        </w:rPr>
      </w:pPr>
      <w:r>
        <w:rPr>
          <w:rFonts w:hint="eastAsia" w:ascii="宋体" w:hAnsi="宋体" w:cs="宋体"/>
          <w:color w:val="000000"/>
          <w:sz w:val="22"/>
        </w:rPr>
        <w:t>致：</w:t>
      </w:r>
      <w:r>
        <w:rPr>
          <w:rFonts w:hint="eastAsia" w:ascii="宋体" w:hAnsi="宋体" w:cs="宋体"/>
          <w:color w:val="000000"/>
          <w:kern w:val="0"/>
          <w:sz w:val="22"/>
        </w:rPr>
        <w:t>深圳市第二人民医院</w:t>
      </w:r>
    </w:p>
    <w:p>
      <w:pPr>
        <w:spacing w:line="360" w:lineRule="exact"/>
        <w:ind w:firstLine="440" w:firstLineChars="200"/>
        <w:rPr>
          <w:rFonts w:ascii="宋体" w:hAnsi="宋体" w:cs="宋体"/>
          <w:color w:val="000000"/>
          <w:sz w:val="22"/>
        </w:rPr>
      </w:pPr>
      <w:r>
        <w:rPr>
          <w:rFonts w:hint="eastAsia" w:ascii="宋体" w:hAnsi="宋体" w:cs="宋体"/>
          <w:color w:val="000000"/>
          <w:sz w:val="22"/>
        </w:rPr>
        <w:t>根据贵方</w:t>
      </w:r>
      <w:r>
        <w:rPr>
          <w:rFonts w:hint="eastAsia" w:ascii="宋体" w:hAnsi="宋体" w:cs="宋体"/>
          <w:color w:val="000000"/>
          <w:sz w:val="22"/>
          <w:u w:val="single"/>
        </w:rPr>
        <w:t xml:space="preserve">                     （项目名称）</w:t>
      </w:r>
      <w:r>
        <w:rPr>
          <w:rFonts w:hint="eastAsia" w:ascii="宋体" w:hAnsi="宋体" w:cs="宋体"/>
          <w:color w:val="000000"/>
          <w:sz w:val="22"/>
        </w:rPr>
        <w:t>的招标公告</w:t>
      </w:r>
      <w:r>
        <w:rPr>
          <w:rFonts w:hint="eastAsia" w:ascii="宋体" w:hAnsi="宋体" w:cs="宋体"/>
          <w:color w:val="000000"/>
          <w:sz w:val="22"/>
          <w:u w:val="single"/>
        </w:rPr>
        <w:t>（项目编号为      ）</w:t>
      </w:r>
      <w:r>
        <w:rPr>
          <w:rFonts w:hint="eastAsia" w:ascii="宋体" w:hAnsi="宋体" w:cs="宋体"/>
          <w:color w:val="000000"/>
          <w:sz w:val="22"/>
        </w:rPr>
        <w:t>，本人经我方法定代表人授权正式代表投标人</w:t>
      </w:r>
      <w:r>
        <w:rPr>
          <w:rFonts w:hint="eastAsia" w:ascii="宋体" w:hAnsi="宋体" w:cs="宋体"/>
          <w:color w:val="000000"/>
          <w:sz w:val="22"/>
          <w:u w:val="single"/>
        </w:rPr>
        <w:t xml:space="preserve">                    </w:t>
      </w:r>
      <w:r>
        <w:rPr>
          <w:rFonts w:hint="eastAsia" w:ascii="宋体" w:hAnsi="宋体" w:cs="宋体"/>
          <w:color w:val="000000"/>
          <w:sz w:val="22"/>
        </w:rPr>
        <w:t>（投标人的名称），提交唱标信封1份及投标文件正本1份，副本5份，投标文件电子版1份（盖章扫描件）。</w:t>
      </w:r>
    </w:p>
    <w:p>
      <w:pPr>
        <w:spacing w:line="360" w:lineRule="exact"/>
        <w:rPr>
          <w:rFonts w:ascii="宋体" w:hAnsi="宋体" w:cs="宋体"/>
          <w:color w:val="000000"/>
          <w:sz w:val="22"/>
        </w:rPr>
      </w:pPr>
      <w:r>
        <w:rPr>
          <w:rFonts w:hint="eastAsia" w:ascii="宋体" w:hAnsi="宋体" w:cs="宋体"/>
          <w:color w:val="000000"/>
          <w:sz w:val="22"/>
        </w:rPr>
        <w:t xml:space="preserve">    据此函，本人代表投标方保证，所提供的全部资料是真实的。本人承诺：</w:t>
      </w:r>
    </w:p>
    <w:p>
      <w:pPr>
        <w:spacing w:line="360" w:lineRule="exact"/>
        <w:ind w:firstLine="440" w:firstLineChars="200"/>
        <w:rPr>
          <w:rFonts w:ascii="宋体" w:hAnsi="宋体" w:cs="宋体"/>
          <w:color w:val="000000"/>
          <w:sz w:val="22"/>
        </w:rPr>
      </w:pPr>
      <w:r>
        <w:rPr>
          <w:rFonts w:hint="eastAsia" w:ascii="宋体" w:hAnsi="宋体" w:cs="宋体"/>
          <w:color w:val="000000"/>
          <w:sz w:val="22"/>
        </w:rPr>
        <w:t>（1）我方愿以开标一览表中的投标报价并按采购文件要求承包上述项目并修补其任何缺陷；</w:t>
      </w:r>
    </w:p>
    <w:p>
      <w:pPr>
        <w:spacing w:line="360" w:lineRule="exact"/>
        <w:ind w:firstLine="440" w:firstLineChars="200"/>
        <w:rPr>
          <w:rFonts w:ascii="宋体" w:hAnsi="宋体" w:cs="宋体"/>
          <w:color w:val="000000"/>
          <w:sz w:val="22"/>
        </w:rPr>
      </w:pPr>
      <w:r>
        <w:rPr>
          <w:rFonts w:hint="eastAsia" w:ascii="宋体" w:hAnsi="宋体" w:cs="宋体"/>
          <w:color w:val="000000"/>
          <w:sz w:val="22"/>
        </w:rPr>
        <w:t>（2）我方承担根据采购文件的规定，完成合同的责任和义务。</w:t>
      </w:r>
    </w:p>
    <w:p>
      <w:pPr>
        <w:spacing w:line="360" w:lineRule="exact"/>
        <w:ind w:firstLine="440" w:firstLineChars="200"/>
        <w:rPr>
          <w:rFonts w:ascii="宋体" w:hAnsi="宋体" w:cs="宋体"/>
          <w:color w:val="000000"/>
          <w:sz w:val="22"/>
        </w:rPr>
      </w:pPr>
      <w:r>
        <w:rPr>
          <w:rFonts w:hint="eastAsia" w:ascii="宋体" w:hAnsi="宋体" w:cs="宋体"/>
          <w:color w:val="000000"/>
          <w:sz w:val="22"/>
        </w:rPr>
        <w:t>（3）我方已详细阅读了全部采购文件，包括采购文件修改书（如果有的话），参考资料及有关附件，我们完全理解并同意放弃对这方面有不清楚或误解的问题和质疑投诉的权利。</w:t>
      </w:r>
    </w:p>
    <w:p>
      <w:pPr>
        <w:spacing w:line="360" w:lineRule="exact"/>
        <w:ind w:firstLine="440" w:firstLineChars="200"/>
        <w:rPr>
          <w:rFonts w:ascii="宋体" w:hAnsi="宋体" w:cs="宋体"/>
          <w:color w:val="000000"/>
          <w:sz w:val="22"/>
        </w:rPr>
      </w:pPr>
      <w:r>
        <w:rPr>
          <w:rFonts w:hint="eastAsia" w:ascii="宋体" w:hAnsi="宋体" w:cs="宋体"/>
          <w:color w:val="000000"/>
          <w:sz w:val="22"/>
        </w:rPr>
        <w:t>（4）我方同意所递交的投标文件在“关键信息-投标须知前附表”规定的投标有效期内有效，在此期间内我方的投标有可能中标，我方将受此约束。如果在投标有效期内撤回其投标，其投标保证金将全部被没收。</w:t>
      </w:r>
    </w:p>
    <w:p>
      <w:pPr>
        <w:spacing w:line="360" w:lineRule="exact"/>
        <w:ind w:firstLine="440" w:firstLineChars="200"/>
        <w:rPr>
          <w:rFonts w:ascii="宋体" w:hAnsi="宋体" w:cs="宋体"/>
          <w:color w:val="000000"/>
          <w:sz w:val="22"/>
        </w:rPr>
      </w:pPr>
      <w:r>
        <w:rPr>
          <w:rFonts w:hint="eastAsia" w:ascii="宋体" w:hAnsi="宋体" w:cs="宋体"/>
          <w:color w:val="000000"/>
          <w:sz w:val="22"/>
        </w:rPr>
        <w:t>（5）除非另外达成协议并生效，贵方的中标通知书和本投标文件将构成约束我们双方的合同。</w:t>
      </w:r>
    </w:p>
    <w:p>
      <w:pPr>
        <w:spacing w:line="360" w:lineRule="exact"/>
        <w:ind w:firstLine="440" w:firstLineChars="200"/>
        <w:rPr>
          <w:rFonts w:ascii="宋体" w:hAnsi="宋体" w:cs="宋体"/>
          <w:color w:val="000000"/>
          <w:sz w:val="22"/>
        </w:rPr>
      </w:pPr>
      <w:r>
        <w:rPr>
          <w:rFonts w:hint="eastAsia" w:ascii="宋体" w:hAnsi="宋体" w:cs="宋体"/>
          <w:color w:val="000000"/>
          <w:sz w:val="22"/>
        </w:rPr>
        <w:t>（6）同意向贵方提供贵方可能要求的与本投标有关的任何证据或资料。</w:t>
      </w:r>
    </w:p>
    <w:p>
      <w:pPr>
        <w:spacing w:line="360" w:lineRule="exact"/>
        <w:ind w:firstLine="440" w:firstLineChars="200"/>
        <w:rPr>
          <w:rFonts w:ascii="宋体" w:hAnsi="宋体" w:cs="宋体"/>
          <w:color w:val="000000"/>
          <w:sz w:val="22"/>
        </w:rPr>
      </w:pPr>
      <w:r>
        <w:rPr>
          <w:rFonts w:hint="eastAsia" w:ascii="宋体" w:hAnsi="宋体" w:cs="宋体"/>
          <w:color w:val="000000"/>
          <w:sz w:val="22"/>
        </w:rPr>
        <w:t>（7）我方完全理解贵方不一定要接受最低报价的投标或收到的任何投标。</w:t>
      </w:r>
    </w:p>
    <w:p>
      <w:pPr>
        <w:spacing w:line="360" w:lineRule="exact"/>
        <w:ind w:firstLine="440" w:firstLineChars="200"/>
        <w:rPr>
          <w:rFonts w:ascii="宋体" w:hAnsi="宋体" w:cs="宋体"/>
          <w:color w:val="000000"/>
          <w:sz w:val="22"/>
        </w:rPr>
      </w:pPr>
    </w:p>
    <w:p>
      <w:pPr>
        <w:spacing w:line="360" w:lineRule="exact"/>
        <w:ind w:firstLine="440" w:firstLineChars="200"/>
        <w:rPr>
          <w:rFonts w:ascii="宋体" w:hAnsi="宋体" w:cs="宋体"/>
          <w:color w:val="000000"/>
          <w:sz w:val="22"/>
        </w:rPr>
      </w:pPr>
    </w:p>
    <w:p>
      <w:pPr>
        <w:spacing w:line="360" w:lineRule="exact"/>
        <w:ind w:firstLine="440" w:firstLineChars="200"/>
        <w:rPr>
          <w:rFonts w:ascii="宋体" w:hAnsi="宋体" w:cs="宋体"/>
          <w:color w:val="000000"/>
          <w:sz w:val="22"/>
        </w:rPr>
      </w:pPr>
      <w:r>
        <w:rPr>
          <w:rFonts w:hint="eastAsia" w:ascii="宋体" w:hAnsi="宋体" w:cs="宋体"/>
          <w:color w:val="000000"/>
          <w:sz w:val="22"/>
        </w:rPr>
        <w:t>与本投标有关的正式通信方式：</w:t>
      </w:r>
    </w:p>
    <w:p>
      <w:pPr>
        <w:spacing w:line="360" w:lineRule="exact"/>
        <w:ind w:firstLine="440" w:firstLineChars="200"/>
        <w:rPr>
          <w:rFonts w:ascii="宋体" w:hAnsi="宋体" w:cs="宋体"/>
          <w:color w:val="000000"/>
          <w:sz w:val="22"/>
          <w:u w:val="single"/>
        </w:rPr>
      </w:pPr>
      <w:r>
        <w:rPr>
          <w:rFonts w:hint="eastAsia" w:ascii="宋体" w:hAnsi="宋体" w:cs="宋体"/>
          <w:color w:val="000000"/>
          <w:sz w:val="22"/>
        </w:rPr>
        <w:t>地址：</w:t>
      </w:r>
      <w:r>
        <w:rPr>
          <w:rFonts w:hint="eastAsia" w:ascii="宋体" w:hAnsi="宋体" w:cs="宋体"/>
          <w:color w:val="000000"/>
          <w:sz w:val="22"/>
          <w:u w:val="single"/>
        </w:rPr>
        <w:t xml:space="preserve">                                          </w:t>
      </w:r>
      <w:r>
        <w:rPr>
          <w:rFonts w:hint="eastAsia" w:ascii="宋体" w:hAnsi="宋体" w:cs="宋体"/>
          <w:color w:val="000000"/>
          <w:sz w:val="22"/>
        </w:rPr>
        <w:t xml:space="preserve"> 邮政编码：</w:t>
      </w:r>
      <w:r>
        <w:rPr>
          <w:rFonts w:hint="eastAsia" w:ascii="宋体" w:hAnsi="宋体" w:cs="宋体"/>
          <w:color w:val="000000"/>
          <w:sz w:val="22"/>
          <w:u w:val="single"/>
        </w:rPr>
        <w:t xml:space="preserve">         </w:t>
      </w:r>
    </w:p>
    <w:p>
      <w:pPr>
        <w:spacing w:line="360" w:lineRule="exact"/>
        <w:ind w:firstLine="440" w:firstLineChars="200"/>
        <w:rPr>
          <w:rFonts w:ascii="宋体" w:hAnsi="宋体" w:cs="宋体"/>
          <w:color w:val="000000"/>
          <w:sz w:val="22"/>
          <w:u w:val="single"/>
        </w:rPr>
      </w:pPr>
      <w:r>
        <w:rPr>
          <w:rFonts w:hint="eastAsia" w:ascii="宋体" w:hAnsi="宋体" w:cs="宋体"/>
          <w:color w:val="000000"/>
          <w:sz w:val="22"/>
        </w:rPr>
        <w:t>电话、手机、传真或电传：</w:t>
      </w:r>
      <w:r>
        <w:rPr>
          <w:rFonts w:hint="eastAsia" w:ascii="宋体" w:hAnsi="宋体" w:cs="宋体"/>
          <w:color w:val="000000"/>
          <w:sz w:val="22"/>
          <w:u w:val="single"/>
        </w:rPr>
        <w:t xml:space="preserve">                                            </w:t>
      </w:r>
    </w:p>
    <w:p>
      <w:pPr>
        <w:spacing w:line="360" w:lineRule="exact"/>
        <w:ind w:firstLine="440" w:firstLineChars="200"/>
        <w:rPr>
          <w:rFonts w:ascii="宋体" w:hAnsi="宋体" w:cs="宋体"/>
          <w:color w:val="000000"/>
          <w:sz w:val="22"/>
          <w:u w:val="single"/>
        </w:rPr>
      </w:pPr>
      <w:r>
        <w:rPr>
          <w:rFonts w:hint="eastAsia" w:ascii="宋体" w:hAnsi="宋体" w:cs="宋体"/>
          <w:color w:val="000000"/>
          <w:sz w:val="22"/>
        </w:rPr>
        <w:t>开户银行名称：</w:t>
      </w:r>
      <w:r>
        <w:rPr>
          <w:rFonts w:hint="eastAsia" w:ascii="宋体" w:hAnsi="宋体" w:cs="宋体"/>
          <w:color w:val="000000"/>
          <w:sz w:val="22"/>
          <w:u w:val="single"/>
        </w:rPr>
        <w:t xml:space="preserve">               </w:t>
      </w:r>
      <w:r>
        <w:rPr>
          <w:rFonts w:hint="eastAsia" w:ascii="宋体" w:hAnsi="宋体" w:cs="宋体"/>
          <w:color w:val="000000"/>
          <w:sz w:val="22"/>
        </w:rPr>
        <w:t xml:space="preserve"> 开户银行账号：</w:t>
      </w:r>
      <w:r>
        <w:rPr>
          <w:rFonts w:hint="eastAsia" w:ascii="宋体" w:hAnsi="宋体" w:cs="宋体"/>
          <w:color w:val="000000"/>
          <w:sz w:val="22"/>
          <w:u w:val="single"/>
        </w:rPr>
        <w:t xml:space="preserve">               </w:t>
      </w:r>
    </w:p>
    <w:p>
      <w:pPr>
        <w:spacing w:line="360" w:lineRule="exact"/>
        <w:ind w:firstLine="440" w:firstLineChars="200"/>
        <w:rPr>
          <w:rFonts w:ascii="宋体" w:hAnsi="宋体" w:cs="宋体"/>
          <w:color w:val="000000"/>
          <w:sz w:val="22"/>
          <w:u w:val="single"/>
        </w:rPr>
      </w:pPr>
      <w:r>
        <w:rPr>
          <w:rFonts w:hint="eastAsia" w:ascii="宋体" w:hAnsi="宋体" w:cs="宋体"/>
          <w:color w:val="000000"/>
          <w:sz w:val="22"/>
        </w:rPr>
        <w:t>开户银行地址：</w:t>
      </w:r>
      <w:r>
        <w:rPr>
          <w:rFonts w:hint="eastAsia" w:ascii="宋体" w:hAnsi="宋体" w:cs="宋体"/>
          <w:color w:val="000000"/>
          <w:sz w:val="22"/>
          <w:u w:val="single"/>
        </w:rPr>
        <w:t xml:space="preserve">               </w:t>
      </w:r>
      <w:r>
        <w:rPr>
          <w:rFonts w:hint="eastAsia" w:ascii="宋体" w:hAnsi="宋体" w:cs="宋体"/>
          <w:color w:val="000000"/>
          <w:sz w:val="22"/>
        </w:rPr>
        <w:t xml:space="preserve"> 开户银行电话：</w:t>
      </w:r>
      <w:r>
        <w:rPr>
          <w:rFonts w:hint="eastAsia" w:ascii="宋体" w:hAnsi="宋体" w:cs="宋体"/>
          <w:color w:val="000000"/>
          <w:sz w:val="22"/>
          <w:u w:val="single"/>
        </w:rPr>
        <w:t xml:space="preserve">               </w:t>
      </w:r>
    </w:p>
    <w:p>
      <w:pPr>
        <w:spacing w:line="360" w:lineRule="exact"/>
        <w:ind w:firstLine="440" w:firstLineChars="200"/>
        <w:rPr>
          <w:rFonts w:ascii="宋体" w:hAnsi="宋体" w:cs="宋体"/>
          <w:color w:val="000000"/>
          <w:sz w:val="22"/>
          <w:u w:val="single"/>
        </w:rPr>
      </w:pPr>
      <w:r>
        <w:rPr>
          <w:rFonts w:hint="eastAsia" w:ascii="宋体" w:hAnsi="宋体" w:cs="宋体"/>
          <w:color w:val="000000"/>
          <w:sz w:val="22"/>
        </w:rPr>
        <w:t>投标人代表姓名（签字）：</w:t>
      </w:r>
      <w:r>
        <w:rPr>
          <w:rFonts w:hint="eastAsia" w:ascii="宋体" w:hAnsi="宋体" w:cs="宋体"/>
          <w:color w:val="000000"/>
          <w:sz w:val="22"/>
          <w:u w:val="single"/>
        </w:rPr>
        <w:t xml:space="preserve">                                              </w:t>
      </w:r>
    </w:p>
    <w:p>
      <w:pPr>
        <w:spacing w:line="360" w:lineRule="exact"/>
        <w:ind w:firstLine="5317" w:firstLineChars="2417"/>
        <w:rPr>
          <w:rFonts w:ascii="宋体" w:hAnsi="宋体" w:cs="宋体"/>
          <w:color w:val="000000"/>
          <w:sz w:val="22"/>
        </w:rPr>
      </w:pPr>
    </w:p>
    <w:p>
      <w:pPr>
        <w:spacing w:line="360" w:lineRule="auto"/>
        <w:rPr>
          <w:sz w:val="22"/>
        </w:rPr>
      </w:pPr>
      <w:r>
        <w:rPr>
          <w:rFonts w:hint="eastAsia" w:ascii="宋体" w:hAnsi="宋体"/>
          <w:sz w:val="22"/>
          <w:lang w:val="zh-CN"/>
        </w:rPr>
        <w:t>法定代表人（</w:t>
      </w:r>
      <w:r>
        <w:rPr>
          <w:rFonts w:hint="eastAsia" w:ascii="宋体" w:hAnsi="宋体"/>
          <w:sz w:val="22"/>
        </w:rPr>
        <w:t>单位负责人</w:t>
      </w:r>
      <w:r>
        <w:rPr>
          <w:rFonts w:hint="eastAsia" w:ascii="宋体" w:hAnsi="宋体"/>
          <w:sz w:val="22"/>
          <w:lang w:val="zh-CN"/>
        </w:rPr>
        <w:t>）或其授权代表（签字</w:t>
      </w:r>
      <w:r>
        <w:rPr>
          <w:rFonts w:hint="eastAsia" w:ascii="宋体" w:hAnsi="宋体"/>
          <w:sz w:val="22"/>
        </w:rPr>
        <w:t>或盖章</w:t>
      </w:r>
      <w:r>
        <w:rPr>
          <w:rFonts w:hint="eastAsia" w:ascii="宋体" w:hAnsi="宋体"/>
          <w:sz w:val="22"/>
          <w:lang w:val="zh-CN"/>
        </w:rPr>
        <w:t>）</w:t>
      </w:r>
      <w:r>
        <w:rPr>
          <w:rFonts w:hint="eastAsia"/>
          <w:sz w:val="22"/>
        </w:rPr>
        <w:t xml:space="preserve">：                   </w:t>
      </w:r>
    </w:p>
    <w:p>
      <w:pPr>
        <w:spacing w:line="360" w:lineRule="auto"/>
        <w:rPr>
          <w:sz w:val="22"/>
        </w:rPr>
      </w:pPr>
      <w:r>
        <w:rPr>
          <w:rFonts w:hint="eastAsia"/>
          <w:sz w:val="22"/>
        </w:rPr>
        <w:t xml:space="preserve">投标人名称（盖章）：                        </w:t>
      </w:r>
    </w:p>
    <w:p>
      <w:pPr>
        <w:spacing w:line="360" w:lineRule="auto"/>
        <w:rPr>
          <w:sz w:val="22"/>
        </w:rPr>
      </w:pPr>
      <w:r>
        <w:rPr>
          <w:rFonts w:hint="eastAsia"/>
          <w:sz w:val="22"/>
        </w:rPr>
        <w:t>日期：   年   月   日</w:t>
      </w:r>
    </w:p>
    <w:p>
      <w:pPr>
        <w:rPr>
          <w:b/>
          <w:color w:val="000000"/>
          <w:sz w:val="24"/>
        </w:rPr>
      </w:pPr>
    </w:p>
    <w:p>
      <w:pPr>
        <w:jc w:val="center"/>
        <w:rPr>
          <w:b/>
          <w:bCs/>
          <w:color w:val="000000"/>
          <w:sz w:val="32"/>
          <w:szCs w:val="32"/>
        </w:rPr>
      </w:pPr>
    </w:p>
    <w:p>
      <w:pPr>
        <w:spacing w:line="360" w:lineRule="auto"/>
        <w:jc w:val="center"/>
        <w:rPr>
          <w:b/>
          <w:bCs/>
          <w:color w:val="000000"/>
          <w:sz w:val="32"/>
          <w:szCs w:val="32"/>
        </w:rPr>
      </w:pPr>
    </w:p>
    <w:p>
      <w:pPr>
        <w:numPr>
          <w:ilvl w:val="0"/>
          <w:numId w:val="6"/>
        </w:numPr>
        <w:jc w:val="center"/>
        <w:outlineLvl w:val="2"/>
        <w:rPr>
          <w:rFonts w:ascii="宋体" w:hAnsi="宋体" w:cs="宋体"/>
          <w:b/>
          <w:bCs/>
          <w:sz w:val="32"/>
          <w:szCs w:val="24"/>
        </w:rPr>
      </w:pPr>
      <w:r>
        <w:rPr>
          <w:color w:val="000000"/>
          <w:sz w:val="32"/>
          <w:szCs w:val="32"/>
        </w:rPr>
        <w:br w:type="page"/>
      </w:r>
      <w:r>
        <w:rPr>
          <w:rFonts w:hint="eastAsia" w:ascii="宋体" w:hAnsi="宋体" w:cs="宋体"/>
          <w:b/>
          <w:bCs/>
          <w:sz w:val="32"/>
          <w:szCs w:val="24"/>
        </w:rPr>
        <w:t>政府采购投标及履约承诺函</w:t>
      </w:r>
    </w:p>
    <w:p>
      <w:pPr>
        <w:widowControl/>
        <w:spacing w:line="240" w:lineRule="exact"/>
        <w:jc w:val="left"/>
        <w:rPr>
          <w:rFonts w:ascii="宋体" w:hAnsi="宋体" w:cs="宋体"/>
          <w:kern w:val="0"/>
          <w:sz w:val="32"/>
          <w:szCs w:val="18"/>
        </w:rPr>
      </w:pPr>
    </w:p>
    <w:p>
      <w:pPr>
        <w:widowControl/>
        <w:snapToGrid w:val="0"/>
        <w:spacing w:line="360" w:lineRule="auto"/>
        <w:jc w:val="left"/>
        <w:rPr>
          <w:rFonts w:ascii="宋体" w:hAnsi="宋体" w:cs="宋体"/>
          <w:kern w:val="0"/>
          <w:sz w:val="22"/>
          <w:szCs w:val="24"/>
        </w:rPr>
      </w:pPr>
      <w:r>
        <w:rPr>
          <w:rFonts w:hint="eastAsia" w:ascii="宋体" w:hAnsi="宋体" w:cs="宋体"/>
          <w:kern w:val="0"/>
          <w:sz w:val="22"/>
          <w:szCs w:val="24"/>
        </w:rPr>
        <w:t xml:space="preserve">致：深圳市第二人民医院                      </w:t>
      </w:r>
    </w:p>
    <w:p>
      <w:pPr>
        <w:tabs>
          <w:tab w:val="left" w:pos="567"/>
        </w:tabs>
        <w:spacing w:line="360" w:lineRule="auto"/>
        <w:ind w:firstLine="440" w:firstLineChars="200"/>
        <w:jc w:val="left"/>
        <w:rPr>
          <w:rFonts w:ascii="宋体" w:hAnsi="宋体" w:cs="宋体"/>
          <w:sz w:val="22"/>
        </w:rPr>
      </w:pPr>
      <w:r>
        <w:rPr>
          <w:rFonts w:hint="eastAsia" w:ascii="宋体" w:hAnsi="宋体" w:cs="宋体"/>
          <w:sz w:val="22"/>
        </w:rPr>
        <w:t>我公司承诺：</w:t>
      </w:r>
    </w:p>
    <w:p>
      <w:pPr>
        <w:tabs>
          <w:tab w:val="left" w:pos="567"/>
        </w:tabs>
        <w:spacing w:line="360" w:lineRule="auto"/>
        <w:ind w:firstLine="440" w:firstLineChars="200"/>
        <w:jc w:val="left"/>
        <w:rPr>
          <w:rFonts w:ascii="宋体" w:hAnsi="宋体" w:cs="宋体"/>
          <w:sz w:val="22"/>
        </w:rPr>
      </w:pPr>
      <w:r>
        <w:rPr>
          <w:rFonts w:hint="eastAsia" w:ascii="宋体" w:hAnsi="宋体" w:cs="宋体"/>
          <w:sz w:val="22"/>
        </w:rPr>
        <w:t>1.我公司本招标项目所提供的货物或服务未侵犯知识产权。</w:t>
      </w:r>
    </w:p>
    <w:p>
      <w:pPr>
        <w:tabs>
          <w:tab w:val="left" w:pos="567"/>
        </w:tabs>
        <w:spacing w:line="360" w:lineRule="auto"/>
        <w:ind w:firstLine="440" w:firstLineChars="200"/>
        <w:jc w:val="left"/>
        <w:rPr>
          <w:rFonts w:ascii="宋体" w:hAnsi="宋体" w:cs="宋体"/>
          <w:sz w:val="22"/>
        </w:rPr>
      </w:pPr>
      <w:r>
        <w:rPr>
          <w:rFonts w:hint="eastAsia" w:ascii="宋体" w:hAnsi="宋体" w:cs="宋体"/>
          <w:sz w:val="22"/>
        </w:rPr>
        <w:t>2.我公司参与本项目投标前三年内，在经营活动中没有重大违法记录。</w:t>
      </w:r>
    </w:p>
    <w:p>
      <w:pPr>
        <w:tabs>
          <w:tab w:val="left" w:pos="567"/>
        </w:tabs>
        <w:spacing w:line="360" w:lineRule="auto"/>
        <w:ind w:firstLine="440" w:firstLineChars="200"/>
        <w:jc w:val="left"/>
        <w:rPr>
          <w:rFonts w:ascii="宋体" w:hAnsi="宋体" w:cs="宋体"/>
          <w:sz w:val="22"/>
        </w:rPr>
      </w:pPr>
      <w:r>
        <w:rPr>
          <w:rFonts w:hint="eastAsia" w:ascii="宋体" w:hAnsi="宋体" w:cs="宋体"/>
          <w:sz w:val="22"/>
        </w:rPr>
        <w:t>3.我公司参与本项目政府采购活动时不存在被有关部门禁止参与政府采购活动且在有效期内的情况。</w:t>
      </w:r>
    </w:p>
    <w:p>
      <w:pPr>
        <w:tabs>
          <w:tab w:val="left" w:pos="567"/>
        </w:tabs>
        <w:spacing w:line="360" w:lineRule="auto"/>
        <w:ind w:firstLine="440" w:firstLineChars="200"/>
        <w:jc w:val="left"/>
        <w:rPr>
          <w:rFonts w:ascii="宋体" w:hAnsi="宋体" w:cs="宋体"/>
          <w:sz w:val="22"/>
        </w:rPr>
      </w:pPr>
      <w:r>
        <w:rPr>
          <w:rFonts w:hint="eastAsia" w:ascii="宋体" w:hAnsi="宋体" w:cs="宋体"/>
          <w:sz w:val="22"/>
        </w:rPr>
        <w:t>4.我公司具备《中华人民共和国政府采购法》第二十二条第一款规定的六项条件。</w:t>
      </w:r>
    </w:p>
    <w:p>
      <w:pPr>
        <w:tabs>
          <w:tab w:val="left" w:pos="567"/>
        </w:tabs>
        <w:spacing w:line="360" w:lineRule="auto"/>
        <w:ind w:firstLine="440" w:firstLineChars="200"/>
        <w:jc w:val="left"/>
        <w:rPr>
          <w:rFonts w:ascii="宋体" w:hAnsi="宋体" w:cs="宋体"/>
          <w:sz w:val="22"/>
        </w:rPr>
      </w:pPr>
      <w:r>
        <w:rPr>
          <w:rFonts w:hint="eastAsia" w:ascii="宋体" w:hAnsi="宋体" w:cs="宋体"/>
          <w:sz w:val="22"/>
        </w:rPr>
        <w:t>5.我公司未被列入失信被执行人、重大税收违法案件当事人名单、政府采购严重违法失信行为记录名单。</w:t>
      </w:r>
    </w:p>
    <w:p>
      <w:pPr>
        <w:tabs>
          <w:tab w:val="left" w:pos="567"/>
        </w:tabs>
        <w:spacing w:line="360" w:lineRule="auto"/>
        <w:ind w:firstLine="440" w:firstLineChars="200"/>
        <w:jc w:val="left"/>
        <w:rPr>
          <w:rFonts w:ascii="宋体" w:hAnsi="宋体" w:cs="宋体"/>
          <w:sz w:val="22"/>
        </w:rPr>
      </w:pPr>
      <w:r>
        <w:rPr>
          <w:rFonts w:hint="eastAsia" w:ascii="宋体" w:hAnsi="宋体" w:cs="宋体"/>
          <w:sz w:val="22"/>
        </w:rPr>
        <w:t>6.我公司不存在单位负责人为同一人或者存在直接控股、管理关系的不同供应商，同时参加本项目的投标。</w:t>
      </w:r>
    </w:p>
    <w:p>
      <w:pPr>
        <w:tabs>
          <w:tab w:val="left" w:pos="567"/>
        </w:tabs>
        <w:spacing w:line="360" w:lineRule="auto"/>
        <w:ind w:firstLine="440" w:firstLineChars="200"/>
        <w:jc w:val="left"/>
        <w:rPr>
          <w:rFonts w:ascii="宋体" w:hAnsi="宋体" w:cs="宋体"/>
          <w:sz w:val="22"/>
        </w:rPr>
      </w:pPr>
      <w:r>
        <w:rPr>
          <w:rFonts w:hint="eastAsia" w:ascii="宋体" w:hAnsi="宋体" w:cs="宋体"/>
          <w:sz w:val="22"/>
        </w:rPr>
        <w:t>7.我公司不存在</w:t>
      </w:r>
      <w:r>
        <w:rPr>
          <w:rFonts w:hint="eastAsia" w:ascii="宋体" w:hAnsi="宋体" w:cs="宋体"/>
          <w:sz w:val="22"/>
          <w:lang w:val="zh-CN"/>
        </w:rPr>
        <w:t>对本次采购项目提供整体设计、规范编制或者项目管理、监理、检测等服务。</w:t>
      </w:r>
    </w:p>
    <w:p>
      <w:pPr>
        <w:tabs>
          <w:tab w:val="left" w:pos="567"/>
        </w:tabs>
        <w:spacing w:line="360" w:lineRule="auto"/>
        <w:ind w:firstLine="440" w:firstLineChars="200"/>
        <w:jc w:val="left"/>
        <w:rPr>
          <w:rFonts w:ascii="宋体" w:hAnsi="宋体" w:cs="宋体"/>
          <w:sz w:val="22"/>
        </w:rPr>
      </w:pPr>
      <w:r>
        <w:rPr>
          <w:rFonts w:hint="eastAsia" w:ascii="宋体" w:hAnsi="宋体" w:cs="宋体"/>
          <w:sz w:val="22"/>
        </w:rPr>
        <w:t>8.我公司参与该项目投标，严格遵守政府采购相关法律，投标做到诚实，不造假，不围标、串标、陪标。我公司已清楚，如违反上述要求，其投标将作无效处理，被列入不良记录名单并在网上曝光，同时将被提请政府采购监督管理部门给予一定年限内禁止参与政府采购活动或其他处罚。</w:t>
      </w:r>
    </w:p>
    <w:p>
      <w:pPr>
        <w:tabs>
          <w:tab w:val="left" w:pos="567"/>
        </w:tabs>
        <w:spacing w:line="360" w:lineRule="auto"/>
        <w:ind w:firstLine="440" w:firstLineChars="200"/>
        <w:jc w:val="left"/>
        <w:rPr>
          <w:rFonts w:ascii="宋体" w:hAnsi="宋体" w:cs="宋体"/>
          <w:sz w:val="22"/>
        </w:rPr>
      </w:pPr>
      <w:r>
        <w:rPr>
          <w:rFonts w:hint="eastAsia" w:ascii="宋体" w:hAnsi="宋体" w:cs="宋体"/>
          <w:sz w:val="22"/>
        </w:rPr>
        <w:t>9.我公司如果中标，做到守信，不偷工减料，依照本项目招标文件需求内容、签署的采购合同及本公司在投标中所作的一切承诺履约。</w:t>
      </w:r>
    </w:p>
    <w:p>
      <w:pPr>
        <w:tabs>
          <w:tab w:val="left" w:pos="567"/>
        </w:tabs>
        <w:spacing w:line="360" w:lineRule="auto"/>
        <w:ind w:firstLine="440" w:firstLineChars="200"/>
        <w:jc w:val="left"/>
        <w:rPr>
          <w:rFonts w:ascii="宋体" w:hAnsi="宋体" w:cs="宋体"/>
          <w:sz w:val="22"/>
        </w:rPr>
      </w:pPr>
      <w:r>
        <w:rPr>
          <w:rFonts w:hint="eastAsia" w:ascii="宋体" w:hAnsi="宋体" w:cs="宋体"/>
          <w:sz w:val="22"/>
        </w:rPr>
        <w:t>10.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pPr>
        <w:tabs>
          <w:tab w:val="left" w:pos="567"/>
        </w:tabs>
        <w:spacing w:line="360" w:lineRule="auto"/>
        <w:ind w:firstLine="440" w:firstLineChars="200"/>
        <w:jc w:val="left"/>
        <w:rPr>
          <w:rFonts w:ascii="宋体" w:hAnsi="宋体" w:cs="宋体"/>
          <w:sz w:val="22"/>
        </w:rPr>
      </w:pPr>
      <w:r>
        <w:rPr>
          <w:rFonts w:hint="eastAsia" w:ascii="宋体" w:hAnsi="宋体" w:cs="宋体"/>
          <w:sz w:val="22"/>
        </w:rPr>
        <w:t>11.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pPr>
        <w:tabs>
          <w:tab w:val="left" w:pos="567"/>
        </w:tabs>
        <w:spacing w:line="360" w:lineRule="auto"/>
        <w:ind w:firstLine="440" w:firstLineChars="200"/>
        <w:jc w:val="left"/>
        <w:rPr>
          <w:rFonts w:ascii="宋体" w:hAnsi="宋体" w:cs="宋体"/>
          <w:sz w:val="22"/>
        </w:rPr>
      </w:pPr>
      <w:r>
        <w:rPr>
          <w:rFonts w:hint="eastAsia" w:ascii="宋体" w:hAnsi="宋体" w:cs="宋体"/>
          <w:sz w:val="22"/>
        </w:rPr>
        <w:t>12.我公司承诺不非法转包、分包。</w:t>
      </w:r>
    </w:p>
    <w:p>
      <w:pPr>
        <w:tabs>
          <w:tab w:val="left" w:pos="567"/>
        </w:tabs>
        <w:spacing w:line="360" w:lineRule="auto"/>
        <w:ind w:firstLine="440" w:firstLineChars="200"/>
        <w:jc w:val="left"/>
        <w:rPr>
          <w:rFonts w:ascii="宋体" w:hAnsi="宋体" w:cs="宋体"/>
          <w:sz w:val="22"/>
        </w:rPr>
      </w:pPr>
      <w:r>
        <w:rPr>
          <w:rFonts w:hint="eastAsia" w:ascii="宋体" w:hAnsi="宋体" w:cs="宋体"/>
          <w:sz w:val="22"/>
        </w:rPr>
        <w:t>13.我公司承诺所投标（响应）的货物、工程或服务，不存在侵犯知识产权的情况；已知悉并同意中标（成交）结果信息公示（公开）的内容。</w:t>
      </w:r>
    </w:p>
    <w:p>
      <w:pPr>
        <w:tabs>
          <w:tab w:val="left" w:pos="567"/>
        </w:tabs>
        <w:spacing w:line="360" w:lineRule="auto"/>
        <w:ind w:firstLine="440" w:firstLineChars="200"/>
        <w:jc w:val="left"/>
        <w:rPr>
          <w:rFonts w:ascii="宋体" w:hAnsi="宋体" w:cs="宋体"/>
          <w:sz w:val="22"/>
        </w:rPr>
      </w:pPr>
      <w:r>
        <w:rPr>
          <w:rFonts w:hint="eastAsia" w:ascii="宋体" w:hAnsi="宋体" w:cs="宋体"/>
          <w:sz w:val="22"/>
        </w:rPr>
        <w:t>14.我公司保证，若所投货物涉及《财政部生态环境部关于印发节能产品政府采购品目清单的通知》（财库〔2019〕19号）列明的政府采购强制产品，则所投该产品符合节能产品的认证要求。</w:t>
      </w:r>
    </w:p>
    <w:p>
      <w:pPr>
        <w:tabs>
          <w:tab w:val="left" w:pos="567"/>
        </w:tabs>
        <w:spacing w:line="360" w:lineRule="auto"/>
        <w:ind w:firstLine="440" w:firstLineChars="200"/>
        <w:jc w:val="left"/>
        <w:rPr>
          <w:rFonts w:ascii="宋体" w:hAnsi="宋体" w:cs="宋体"/>
          <w:sz w:val="22"/>
        </w:rPr>
      </w:pPr>
      <w:r>
        <w:rPr>
          <w:rFonts w:hint="eastAsia" w:ascii="宋体" w:hAnsi="宋体" w:cs="宋体"/>
          <w:sz w:val="22"/>
        </w:rPr>
        <w:t>15.我公司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tabs>
          <w:tab w:val="left" w:pos="567"/>
        </w:tabs>
        <w:spacing w:line="360" w:lineRule="auto"/>
        <w:ind w:firstLine="440" w:firstLineChars="200"/>
        <w:jc w:val="left"/>
        <w:rPr>
          <w:rFonts w:ascii="宋体" w:hAnsi="宋体" w:cs="宋体"/>
          <w:sz w:val="22"/>
        </w:rPr>
      </w:pPr>
    </w:p>
    <w:p>
      <w:pPr>
        <w:tabs>
          <w:tab w:val="left" w:pos="567"/>
        </w:tabs>
        <w:spacing w:line="360" w:lineRule="auto"/>
        <w:ind w:firstLine="440" w:firstLineChars="200"/>
        <w:jc w:val="left"/>
        <w:rPr>
          <w:rFonts w:ascii="宋体" w:hAnsi="宋体" w:cs="宋体"/>
          <w:sz w:val="22"/>
        </w:rPr>
      </w:pPr>
    </w:p>
    <w:p>
      <w:pPr>
        <w:tabs>
          <w:tab w:val="left" w:pos="567"/>
        </w:tabs>
        <w:spacing w:line="360" w:lineRule="auto"/>
        <w:ind w:firstLine="440" w:firstLineChars="200"/>
        <w:jc w:val="left"/>
        <w:rPr>
          <w:rFonts w:ascii="宋体" w:hAnsi="宋体" w:cs="宋体"/>
          <w:sz w:val="22"/>
        </w:rPr>
      </w:pPr>
      <w:r>
        <w:rPr>
          <w:rFonts w:hint="eastAsia" w:ascii="宋体" w:hAnsi="宋体" w:cs="宋体"/>
          <w:sz w:val="22"/>
        </w:rPr>
        <w:t>以上承诺，如有违反，愿依照国家相关法律处理，并承担由此给采购人带来的损失。</w:t>
      </w:r>
    </w:p>
    <w:p>
      <w:pPr>
        <w:tabs>
          <w:tab w:val="left" w:pos="567"/>
        </w:tabs>
        <w:spacing w:line="360" w:lineRule="auto"/>
        <w:ind w:left="420"/>
        <w:jc w:val="left"/>
        <w:rPr>
          <w:rFonts w:ascii="宋体" w:hAnsi="宋体" w:cs="宋体"/>
          <w:sz w:val="22"/>
        </w:rPr>
      </w:pPr>
    </w:p>
    <w:p>
      <w:pPr>
        <w:tabs>
          <w:tab w:val="left" w:pos="567"/>
        </w:tabs>
        <w:spacing w:line="360" w:lineRule="auto"/>
        <w:ind w:left="420"/>
        <w:jc w:val="left"/>
        <w:rPr>
          <w:rFonts w:ascii="宋体" w:hAnsi="宋体" w:cs="宋体"/>
          <w:sz w:val="22"/>
        </w:rPr>
      </w:pPr>
      <w:r>
        <w:rPr>
          <w:rFonts w:hint="eastAsia" w:ascii="宋体" w:hAnsi="宋体" w:cs="宋体"/>
          <w:sz w:val="22"/>
        </w:rPr>
        <w:t>投标人名称（盖章）：</w:t>
      </w:r>
    </w:p>
    <w:p>
      <w:pPr>
        <w:tabs>
          <w:tab w:val="left" w:pos="567"/>
        </w:tabs>
        <w:spacing w:line="360" w:lineRule="auto"/>
        <w:ind w:left="420"/>
        <w:jc w:val="left"/>
        <w:rPr>
          <w:rFonts w:ascii="宋体" w:hAnsi="宋体" w:cs="宋体"/>
          <w:sz w:val="22"/>
        </w:rPr>
      </w:pPr>
      <w:r>
        <w:rPr>
          <w:rFonts w:hint="eastAsia" w:ascii="宋体" w:hAnsi="宋体" w:cs="宋体"/>
          <w:sz w:val="22"/>
        </w:rPr>
        <w:t>日期：年 月 日</w:t>
      </w:r>
    </w:p>
    <w:p>
      <w:pPr>
        <w:pStyle w:val="2"/>
      </w:pPr>
    </w:p>
    <w:p>
      <w:pPr>
        <w:numPr>
          <w:ilvl w:val="0"/>
          <w:numId w:val="6"/>
        </w:numPr>
        <w:jc w:val="center"/>
        <w:outlineLvl w:val="2"/>
        <w:rPr>
          <w:b/>
          <w:bCs/>
          <w:sz w:val="32"/>
          <w:szCs w:val="32"/>
        </w:rPr>
      </w:pPr>
      <w:r>
        <w:rPr>
          <w:rFonts w:hint="eastAsia"/>
          <w:b/>
          <w:bCs/>
          <w:sz w:val="32"/>
          <w:szCs w:val="32"/>
        </w:rPr>
        <w:t>诚信承诺函</w:t>
      </w: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致：深圳市第二人民医院</w:t>
      </w:r>
    </w:p>
    <w:p>
      <w:pPr>
        <w:spacing w:line="360" w:lineRule="auto"/>
        <w:ind w:firstLine="440" w:firstLineChars="200"/>
        <w:rPr>
          <w:rFonts w:ascii="宋体" w:hAnsi="宋体" w:cs="宋体"/>
          <w:sz w:val="22"/>
        </w:rPr>
      </w:pPr>
      <w:r>
        <w:rPr>
          <w:rFonts w:hint="eastAsia" w:ascii="宋体" w:hAnsi="宋体" w:cs="宋体"/>
          <w:sz w:val="22"/>
        </w:rPr>
        <w:t>我公司承诺，在政府采购招标投标活动中无下列行为：</w:t>
      </w:r>
    </w:p>
    <w:p>
      <w:pPr>
        <w:tabs>
          <w:tab w:val="left" w:pos="567"/>
        </w:tabs>
        <w:spacing w:line="360" w:lineRule="auto"/>
        <w:ind w:left="420"/>
        <w:jc w:val="left"/>
        <w:rPr>
          <w:rFonts w:ascii="宋体" w:hAnsi="宋体" w:cs="宋体"/>
          <w:sz w:val="22"/>
        </w:rPr>
      </w:pPr>
      <w:r>
        <w:rPr>
          <w:rFonts w:hint="eastAsia" w:ascii="宋体" w:hAnsi="宋体" w:cs="宋体"/>
          <w:sz w:val="22"/>
        </w:rPr>
        <w:t>（一）被纪检监察部门立案调查，违法违规事实成立的；</w:t>
      </w:r>
    </w:p>
    <w:p>
      <w:pPr>
        <w:tabs>
          <w:tab w:val="left" w:pos="567"/>
        </w:tabs>
        <w:spacing w:line="360" w:lineRule="auto"/>
        <w:ind w:left="420"/>
        <w:jc w:val="left"/>
        <w:rPr>
          <w:rFonts w:ascii="宋体" w:hAnsi="宋体" w:cs="宋体"/>
          <w:sz w:val="22"/>
        </w:rPr>
      </w:pPr>
      <w:r>
        <w:rPr>
          <w:rFonts w:hint="eastAsia" w:ascii="宋体" w:hAnsi="宋体" w:cs="宋体"/>
          <w:sz w:val="22"/>
        </w:rPr>
        <w:t>（二）未按本条例规定签订、履行采购合同，造成严重后果的；</w:t>
      </w:r>
    </w:p>
    <w:p>
      <w:pPr>
        <w:tabs>
          <w:tab w:val="left" w:pos="567"/>
        </w:tabs>
        <w:spacing w:line="360" w:lineRule="auto"/>
        <w:ind w:left="420"/>
        <w:jc w:val="left"/>
        <w:rPr>
          <w:rFonts w:ascii="宋体" w:hAnsi="宋体" w:cs="宋体"/>
          <w:sz w:val="22"/>
        </w:rPr>
      </w:pPr>
      <w:r>
        <w:rPr>
          <w:rFonts w:hint="eastAsia" w:ascii="宋体" w:hAnsi="宋体" w:cs="宋体"/>
          <w:sz w:val="22"/>
        </w:rPr>
        <w:t>（三）隐瞒真实情况，提供虚假资料的；</w:t>
      </w:r>
    </w:p>
    <w:p>
      <w:pPr>
        <w:tabs>
          <w:tab w:val="left" w:pos="567"/>
        </w:tabs>
        <w:spacing w:line="360" w:lineRule="auto"/>
        <w:ind w:left="420"/>
        <w:jc w:val="left"/>
        <w:rPr>
          <w:rFonts w:ascii="宋体" w:hAnsi="宋体" w:cs="宋体"/>
          <w:sz w:val="22"/>
        </w:rPr>
      </w:pPr>
      <w:r>
        <w:rPr>
          <w:rFonts w:hint="eastAsia" w:ascii="宋体" w:hAnsi="宋体" w:cs="宋体"/>
          <w:sz w:val="22"/>
        </w:rPr>
        <w:t>（四）以非法手段排斥其他供应商参与竞争的；</w:t>
      </w:r>
    </w:p>
    <w:p>
      <w:pPr>
        <w:tabs>
          <w:tab w:val="left" w:pos="567"/>
        </w:tabs>
        <w:spacing w:line="360" w:lineRule="auto"/>
        <w:ind w:left="420"/>
        <w:jc w:val="left"/>
        <w:rPr>
          <w:rFonts w:ascii="宋体" w:hAnsi="宋体" w:cs="宋体"/>
          <w:sz w:val="22"/>
        </w:rPr>
      </w:pPr>
      <w:r>
        <w:rPr>
          <w:rFonts w:hint="eastAsia" w:ascii="宋体" w:hAnsi="宋体" w:cs="宋体"/>
          <w:sz w:val="22"/>
        </w:rPr>
        <w:t>（五）与其他采购参加人串通投标的；</w:t>
      </w:r>
    </w:p>
    <w:p>
      <w:pPr>
        <w:tabs>
          <w:tab w:val="left" w:pos="567"/>
        </w:tabs>
        <w:spacing w:line="360" w:lineRule="auto"/>
        <w:ind w:left="420"/>
        <w:jc w:val="left"/>
        <w:rPr>
          <w:rFonts w:ascii="宋体" w:hAnsi="宋体" w:cs="宋体"/>
          <w:sz w:val="22"/>
        </w:rPr>
      </w:pPr>
      <w:r>
        <w:rPr>
          <w:rFonts w:hint="eastAsia" w:ascii="宋体" w:hAnsi="宋体" w:cs="宋体"/>
          <w:sz w:val="22"/>
        </w:rPr>
        <w:t xml:space="preserve">（六）在采购活动中应当回避而未回避的； </w:t>
      </w:r>
    </w:p>
    <w:p>
      <w:pPr>
        <w:tabs>
          <w:tab w:val="left" w:pos="567"/>
        </w:tabs>
        <w:spacing w:line="360" w:lineRule="auto"/>
        <w:ind w:left="420"/>
        <w:jc w:val="left"/>
        <w:rPr>
          <w:rFonts w:ascii="宋体" w:hAnsi="宋体" w:cs="宋体"/>
          <w:sz w:val="22"/>
        </w:rPr>
      </w:pPr>
      <w:r>
        <w:rPr>
          <w:rFonts w:hint="eastAsia" w:ascii="宋体" w:hAnsi="宋体" w:cs="宋体"/>
          <w:sz w:val="22"/>
        </w:rPr>
        <w:t xml:space="preserve">（七）恶意投诉的； </w:t>
      </w:r>
    </w:p>
    <w:p>
      <w:pPr>
        <w:tabs>
          <w:tab w:val="left" w:pos="567"/>
        </w:tabs>
        <w:spacing w:line="360" w:lineRule="auto"/>
        <w:ind w:left="420"/>
        <w:jc w:val="left"/>
        <w:rPr>
          <w:rFonts w:ascii="宋体" w:hAnsi="宋体" w:cs="宋体"/>
          <w:sz w:val="22"/>
        </w:rPr>
      </w:pPr>
      <w:r>
        <w:rPr>
          <w:rFonts w:hint="eastAsia" w:ascii="宋体" w:hAnsi="宋体" w:cs="宋体"/>
          <w:sz w:val="22"/>
        </w:rPr>
        <w:t xml:space="preserve">（八）向采购项目相关人行贿或者提供其他不当利益的； </w:t>
      </w:r>
    </w:p>
    <w:p>
      <w:pPr>
        <w:tabs>
          <w:tab w:val="left" w:pos="567"/>
        </w:tabs>
        <w:spacing w:line="360" w:lineRule="auto"/>
        <w:ind w:left="420"/>
        <w:jc w:val="left"/>
        <w:rPr>
          <w:rFonts w:ascii="宋体" w:hAnsi="宋体" w:cs="宋体"/>
          <w:sz w:val="22"/>
        </w:rPr>
      </w:pPr>
      <w:r>
        <w:rPr>
          <w:rFonts w:hint="eastAsia" w:ascii="宋体" w:hAnsi="宋体" w:cs="宋体"/>
          <w:sz w:val="22"/>
        </w:rPr>
        <w:t>（九）阻碍、抗拒主管部门监督检查的；</w:t>
      </w:r>
    </w:p>
    <w:p>
      <w:pPr>
        <w:tabs>
          <w:tab w:val="left" w:pos="567"/>
        </w:tabs>
        <w:spacing w:line="360" w:lineRule="auto"/>
        <w:ind w:left="420"/>
        <w:jc w:val="left"/>
        <w:rPr>
          <w:rFonts w:ascii="宋体" w:hAnsi="宋体" w:cs="宋体"/>
          <w:sz w:val="22"/>
        </w:rPr>
      </w:pPr>
      <w:r>
        <w:rPr>
          <w:rFonts w:hint="eastAsia" w:ascii="宋体" w:hAnsi="宋体" w:cs="宋体"/>
          <w:sz w:val="22"/>
        </w:rPr>
        <w:t>（十）履约检查不合格或者评价为差的；</w:t>
      </w:r>
    </w:p>
    <w:p>
      <w:pPr>
        <w:tabs>
          <w:tab w:val="left" w:pos="567"/>
        </w:tabs>
        <w:spacing w:line="360" w:lineRule="auto"/>
        <w:ind w:left="420"/>
        <w:jc w:val="left"/>
        <w:rPr>
          <w:rFonts w:ascii="宋体" w:hAnsi="宋体" w:cs="宋体"/>
          <w:sz w:val="22"/>
        </w:rPr>
      </w:pPr>
      <w:r>
        <w:rPr>
          <w:rFonts w:hint="eastAsia" w:ascii="宋体" w:hAnsi="宋体" w:cs="宋体"/>
          <w:sz w:val="22"/>
        </w:rPr>
        <w:t xml:space="preserve">（十一）参与本项目投标前三年内，在经营活动中有重大违法记录； </w:t>
      </w:r>
    </w:p>
    <w:p>
      <w:pPr>
        <w:tabs>
          <w:tab w:val="left" w:pos="567"/>
        </w:tabs>
        <w:spacing w:line="360" w:lineRule="auto"/>
        <w:ind w:left="420"/>
        <w:jc w:val="left"/>
        <w:rPr>
          <w:rFonts w:ascii="宋体" w:hAnsi="宋体" w:cs="宋体"/>
          <w:sz w:val="22"/>
        </w:rPr>
      </w:pPr>
      <w:r>
        <w:rPr>
          <w:rFonts w:hint="eastAsia" w:ascii="宋体" w:hAnsi="宋体" w:cs="宋体"/>
          <w:sz w:val="22"/>
        </w:rPr>
        <w:t>（十二）参与本项目政府采购活动时存在处于被有关部门禁止参与政府采购活动且在有效期内的情况；</w:t>
      </w:r>
    </w:p>
    <w:p>
      <w:pPr>
        <w:spacing w:line="360" w:lineRule="auto"/>
        <w:ind w:firstLine="440" w:firstLineChars="200"/>
        <w:rPr>
          <w:rFonts w:ascii="宋体" w:hAnsi="宋体" w:cs="宋体"/>
          <w:sz w:val="22"/>
        </w:rPr>
      </w:pPr>
      <w:r>
        <w:rPr>
          <w:rFonts w:hint="eastAsia" w:ascii="宋体" w:hAnsi="宋体" w:cs="宋体"/>
          <w:sz w:val="22"/>
        </w:rPr>
        <w:t>（十三）主管部门认定的其他情形。</w:t>
      </w:r>
    </w:p>
    <w:p>
      <w:pPr>
        <w:spacing w:line="360" w:lineRule="auto"/>
        <w:ind w:firstLine="440" w:firstLineChars="200"/>
        <w:rPr>
          <w:rFonts w:ascii="宋体" w:hAnsi="宋体" w:cs="宋体"/>
          <w:sz w:val="22"/>
        </w:rPr>
      </w:pPr>
      <w:r>
        <w:rPr>
          <w:rFonts w:hint="eastAsia" w:ascii="宋体" w:hAnsi="宋体" w:cs="宋体"/>
          <w:sz w:val="22"/>
        </w:rPr>
        <w:t>如我司在开标日前三年内存在上述行为超出法定追诉时效未被追诉、或者上述情节轻微未给予禁止参加政府采购的行政处罚，我司自愿承担虚假应标以及其他一切不利的法律后果。</w:t>
      </w:r>
    </w:p>
    <w:p>
      <w:pPr>
        <w:spacing w:line="360" w:lineRule="auto"/>
        <w:ind w:firstLine="440" w:firstLineChars="200"/>
        <w:rPr>
          <w:rFonts w:ascii="宋体" w:hAnsi="宋体" w:cs="宋体"/>
          <w:sz w:val="22"/>
        </w:rPr>
      </w:pPr>
      <w:r>
        <w:rPr>
          <w:rFonts w:hint="eastAsia" w:ascii="宋体" w:hAnsi="宋体" w:cs="宋体"/>
          <w:sz w:val="22"/>
        </w:rPr>
        <w:t>特此承诺。</w:t>
      </w:r>
    </w:p>
    <w:p>
      <w:pPr>
        <w:spacing w:line="360" w:lineRule="auto"/>
        <w:ind w:firstLine="480" w:firstLineChars="200"/>
        <w:rPr>
          <w:rFonts w:ascii="宋体" w:hAnsi="宋体" w:cs="宋体"/>
          <w:sz w:val="24"/>
          <w:szCs w:val="24"/>
        </w:rPr>
      </w:pPr>
    </w:p>
    <w:p>
      <w:pPr>
        <w:spacing w:line="360" w:lineRule="auto"/>
        <w:rPr>
          <w:sz w:val="22"/>
        </w:rPr>
      </w:pPr>
      <w:r>
        <w:rPr>
          <w:rFonts w:hint="eastAsia" w:ascii="宋体" w:hAnsi="宋体"/>
          <w:sz w:val="22"/>
          <w:lang w:val="zh-CN"/>
        </w:rPr>
        <w:t>法定代表人（</w:t>
      </w:r>
      <w:r>
        <w:rPr>
          <w:rFonts w:hint="eastAsia" w:ascii="宋体" w:hAnsi="宋体"/>
          <w:sz w:val="22"/>
        </w:rPr>
        <w:t>单位负责人</w:t>
      </w:r>
      <w:r>
        <w:rPr>
          <w:rFonts w:hint="eastAsia" w:ascii="宋体" w:hAnsi="宋体"/>
          <w:sz w:val="22"/>
          <w:lang w:val="zh-CN"/>
        </w:rPr>
        <w:t>）或其授权代表（签字</w:t>
      </w:r>
      <w:r>
        <w:rPr>
          <w:rFonts w:hint="eastAsia" w:ascii="宋体" w:hAnsi="宋体"/>
          <w:sz w:val="22"/>
        </w:rPr>
        <w:t>或盖章</w:t>
      </w:r>
      <w:r>
        <w:rPr>
          <w:rFonts w:hint="eastAsia" w:ascii="宋体" w:hAnsi="宋体"/>
          <w:sz w:val="22"/>
          <w:lang w:val="zh-CN"/>
        </w:rPr>
        <w:t>）</w:t>
      </w:r>
      <w:r>
        <w:rPr>
          <w:rFonts w:hint="eastAsia"/>
          <w:sz w:val="22"/>
        </w:rPr>
        <w:t xml:space="preserve">：                   </w:t>
      </w:r>
    </w:p>
    <w:p>
      <w:pPr>
        <w:spacing w:line="360" w:lineRule="auto"/>
        <w:rPr>
          <w:sz w:val="22"/>
        </w:rPr>
      </w:pPr>
      <w:r>
        <w:rPr>
          <w:rFonts w:hint="eastAsia"/>
          <w:sz w:val="22"/>
        </w:rPr>
        <w:t xml:space="preserve">投标人名称（盖章）：                        </w:t>
      </w:r>
    </w:p>
    <w:p>
      <w:pPr>
        <w:spacing w:line="360" w:lineRule="auto"/>
        <w:rPr>
          <w:sz w:val="22"/>
        </w:rPr>
      </w:pPr>
      <w:r>
        <w:rPr>
          <w:rFonts w:hint="eastAsia"/>
          <w:sz w:val="22"/>
        </w:rPr>
        <w:t>日期：   年   月   日</w:t>
      </w:r>
    </w:p>
    <w:p/>
    <w:p>
      <w:pPr>
        <w:numPr>
          <w:ilvl w:val="0"/>
          <w:numId w:val="6"/>
        </w:numPr>
        <w:ind w:firstLine="0"/>
        <w:jc w:val="center"/>
        <w:outlineLvl w:val="2"/>
        <w:rPr>
          <w:sz w:val="24"/>
        </w:rPr>
      </w:pPr>
      <w:r>
        <w:rPr>
          <w:sz w:val="28"/>
          <w:szCs w:val="32"/>
        </w:rPr>
        <w:br w:type="page"/>
      </w:r>
      <w:r>
        <w:rPr>
          <w:rFonts w:hint="eastAsia"/>
          <w:b/>
          <w:bCs/>
          <w:sz w:val="32"/>
          <w:szCs w:val="32"/>
        </w:rPr>
        <w:t>政府采购违法行为风险知悉确认书</w:t>
      </w:r>
    </w:p>
    <w:p>
      <w:pPr>
        <w:pStyle w:val="90"/>
        <w:ind w:firstLine="420"/>
      </w:pPr>
    </w:p>
    <w:p>
      <w:pPr>
        <w:ind w:firstLine="440" w:firstLineChars="200"/>
        <w:rPr>
          <w:rFonts w:ascii="宋体" w:hAnsi="宋体" w:cs="宋体"/>
          <w:sz w:val="22"/>
        </w:rPr>
      </w:pPr>
      <w:r>
        <w:rPr>
          <w:rFonts w:hint="eastAsia" w:ascii="宋体" w:hAnsi="宋体" w:cs="宋体"/>
          <w:sz w:val="22"/>
        </w:rPr>
        <w:t>本公司在投标前已充分知悉以下情形为参与政府采购活动时的重大风险事项，并承诺已对下述风险提示事项重点排查，做到严谨、诚信、依法依规参与政府采购活动。</w:t>
      </w:r>
      <w:r>
        <w:rPr>
          <w:rFonts w:hint="eastAsia" w:ascii="宋体" w:hAnsi="宋体" w:cs="宋体"/>
          <w:color w:val="000000"/>
          <w:sz w:val="22"/>
        </w:rPr>
        <w:t xml:space="preserve"> </w:t>
      </w:r>
    </w:p>
    <w:p>
      <w:pPr>
        <w:rPr>
          <w:rFonts w:ascii="宋体" w:hAnsi="宋体" w:cs="宋体"/>
          <w:sz w:val="22"/>
        </w:rPr>
      </w:pPr>
      <w:r>
        <w:rPr>
          <w:rFonts w:hint="eastAsia" w:ascii="宋体" w:hAnsi="宋体" w:cs="宋体"/>
          <w:b/>
          <w:bCs/>
          <w:color w:val="000000"/>
          <w:sz w:val="22"/>
        </w:rPr>
        <w:t>一、本公司已充分知悉“隐瞒真实情况，提供虚假资料”的法定情形，相关情形包括但不限于</w:t>
      </w:r>
      <w:r>
        <w:rPr>
          <w:rFonts w:hint="eastAsia" w:ascii="宋体" w:hAnsi="宋体" w:cs="宋体"/>
          <w:color w:val="000000"/>
          <w:sz w:val="22"/>
        </w:rPr>
        <w:t xml:space="preserve">： </w:t>
      </w:r>
    </w:p>
    <w:p>
      <w:pPr>
        <w:ind w:firstLine="440" w:firstLineChars="200"/>
        <w:rPr>
          <w:rFonts w:ascii="宋体" w:hAnsi="宋体" w:cs="宋体"/>
          <w:sz w:val="22"/>
        </w:rPr>
      </w:pPr>
      <w:r>
        <w:rPr>
          <w:rFonts w:hint="eastAsia" w:ascii="宋体" w:hAnsi="宋体" w:cs="宋体"/>
          <w:sz w:val="22"/>
        </w:rPr>
        <w:t xml:space="preserve">（一）通过转让或者租借等方式从其他单位获取资格或者资质证书投标的。 </w:t>
      </w:r>
    </w:p>
    <w:p>
      <w:pPr>
        <w:ind w:firstLine="440" w:firstLineChars="200"/>
        <w:rPr>
          <w:rFonts w:ascii="宋体" w:hAnsi="宋体" w:cs="宋体"/>
          <w:sz w:val="22"/>
        </w:rPr>
      </w:pPr>
      <w:r>
        <w:rPr>
          <w:rFonts w:hint="eastAsia" w:ascii="宋体" w:hAnsi="宋体" w:cs="宋体"/>
          <w:sz w:val="22"/>
        </w:rPr>
        <w:t xml:space="preserve">（二）由其他单位或者其他单位负责人在投标供应商编制的投标文件上加盖印章或者签字的。 </w:t>
      </w:r>
    </w:p>
    <w:p>
      <w:pPr>
        <w:ind w:firstLine="440" w:firstLineChars="200"/>
        <w:rPr>
          <w:rFonts w:ascii="宋体" w:hAnsi="宋体" w:cs="宋体"/>
          <w:sz w:val="22"/>
        </w:rPr>
      </w:pPr>
      <w:r>
        <w:rPr>
          <w:rFonts w:hint="eastAsia" w:ascii="宋体" w:hAnsi="宋体" w:cs="宋体"/>
          <w:sz w:val="22"/>
        </w:rPr>
        <w:t xml:space="preserve">（三）项目负责人或者主要技术人员不是本单位人员的。 </w:t>
      </w:r>
    </w:p>
    <w:p>
      <w:pPr>
        <w:ind w:firstLine="440" w:firstLineChars="200"/>
        <w:rPr>
          <w:rFonts w:ascii="宋体" w:hAnsi="宋体" w:cs="宋体"/>
          <w:sz w:val="22"/>
        </w:rPr>
      </w:pPr>
      <w:r>
        <w:rPr>
          <w:rFonts w:hint="eastAsia" w:ascii="宋体" w:hAnsi="宋体" w:cs="宋体"/>
          <w:sz w:val="22"/>
        </w:rPr>
        <w:t xml:space="preserve">（四）投标保证金不是从投标供应商基本账户转出的。 </w:t>
      </w:r>
    </w:p>
    <w:p>
      <w:pPr>
        <w:ind w:firstLine="440" w:firstLineChars="200"/>
        <w:rPr>
          <w:rFonts w:ascii="宋体" w:hAnsi="宋体" w:cs="宋体"/>
          <w:sz w:val="22"/>
        </w:rPr>
      </w:pPr>
      <w:r>
        <w:rPr>
          <w:rFonts w:hint="eastAsia" w:ascii="宋体" w:hAnsi="宋体" w:cs="宋体"/>
          <w:sz w:val="22"/>
        </w:rPr>
        <w:t xml:space="preserve">（五）其他隐瞒真实情况、提供虚假资料的行为。 </w:t>
      </w:r>
    </w:p>
    <w:p>
      <w:pPr>
        <w:rPr>
          <w:rFonts w:ascii="宋体" w:hAnsi="宋体" w:cs="宋体"/>
          <w:sz w:val="22"/>
        </w:rPr>
      </w:pPr>
      <w:r>
        <w:rPr>
          <w:rFonts w:hint="eastAsia" w:ascii="宋体" w:hAnsi="宋体" w:cs="宋体"/>
          <w:b/>
          <w:bCs/>
          <w:color w:val="000000"/>
          <w:sz w:val="22"/>
        </w:rPr>
        <w:t xml:space="preserve">二、本公司已充分知悉“与其他采购参加人串通投标”的法定情形，相关情形包括但不限于： </w:t>
      </w:r>
    </w:p>
    <w:p>
      <w:pPr>
        <w:ind w:firstLine="440" w:firstLineChars="200"/>
        <w:rPr>
          <w:rFonts w:ascii="宋体" w:hAnsi="宋体" w:cs="宋体"/>
          <w:sz w:val="22"/>
        </w:rPr>
      </w:pPr>
      <w:r>
        <w:rPr>
          <w:rFonts w:hint="eastAsia" w:ascii="宋体" w:hAnsi="宋体" w:cs="宋体"/>
          <w:color w:val="000000"/>
          <w:sz w:val="22"/>
        </w:rPr>
        <w:t>（一）投标供应商之间相互约定给予未中标的供应商利益补偿。</w:t>
      </w:r>
    </w:p>
    <w:p>
      <w:pPr>
        <w:ind w:firstLine="440" w:firstLineChars="200"/>
        <w:rPr>
          <w:rFonts w:ascii="宋体" w:hAnsi="宋体" w:cs="宋体"/>
          <w:sz w:val="22"/>
        </w:rPr>
      </w:pPr>
      <w:r>
        <w:rPr>
          <w:rFonts w:hint="eastAsia" w:ascii="宋体" w:hAnsi="宋体" w:cs="宋体"/>
          <w:color w:val="000000"/>
          <w:sz w:val="22"/>
        </w:rPr>
        <w:t xml:space="preserve">（二）不同投标供应商的法定代表人、主要经营负责人、项目投标授权代表人、项目负责人、主要技术人员为同一人、属同一单位或者在同一单位缴纳社会保险。 </w:t>
      </w:r>
    </w:p>
    <w:p>
      <w:pPr>
        <w:ind w:firstLine="440" w:firstLineChars="200"/>
        <w:rPr>
          <w:rFonts w:ascii="宋体" w:hAnsi="宋体" w:cs="宋体"/>
          <w:sz w:val="22"/>
        </w:rPr>
      </w:pPr>
      <w:r>
        <w:rPr>
          <w:rFonts w:hint="eastAsia" w:ascii="宋体" w:hAnsi="宋体" w:cs="宋体"/>
          <w:color w:val="000000"/>
          <w:sz w:val="22"/>
        </w:rPr>
        <w:t xml:space="preserve">（三）不同投标供应商的投标文件由同一单位或者同一人编制，或者由同一人分阶段参与编制的。 </w:t>
      </w:r>
    </w:p>
    <w:p>
      <w:pPr>
        <w:ind w:firstLine="440" w:firstLineChars="200"/>
        <w:rPr>
          <w:rFonts w:ascii="宋体" w:hAnsi="宋体" w:cs="宋体"/>
          <w:sz w:val="22"/>
        </w:rPr>
      </w:pPr>
      <w:r>
        <w:rPr>
          <w:rFonts w:hint="eastAsia" w:ascii="宋体" w:hAnsi="宋体" w:cs="宋体"/>
          <w:color w:val="000000"/>
          <w:sz w:val="22"/>
        </w:rPr>
        <w:t>（四）不同投标供应商的投标文件或部分投标文件相互混装。</w:t>
      </w:r>
    </w:p>
    <w:p>
      <w:pPr>
        <w:ind w:firstLine="440" w:firstLineChars="200"/>
        <w:rPr>
          <w:rFonts w:ascii="宋体" w:hAnsi="宋体" w:cs="宋体"/>
          <w:sz w:val="22"/>
        </w:rPr>
      </w:pPr>
      <w:r>
        <w:rPr>
          <w:rFonts w:hint="eastAsia" w:ascii="宋体" w:hAnsi="宋体" w:cs="宋体"/>
          <w:color w:val="000000"/>
          <w:sz w:val="22"/>
        </w:rPr>
        <w:t xml:space="preserve">（五）不同投标供应商的投标文件内容存在非正常一致。 </w:t>
      </w:r>
    </w:p>
    <w:p>
      <w:pPr>
        <w:ind w:firstLine="440" w:firstLineChars="200"/>
        <w:rPr>
          <w:rFonts w:ascii="宋体" w:hAnsi="宋体" w:cs="宋体"/>
          <w:sz w:val="22"/>
        </w:rPr>
      </w:pPr>
      <w:r>
        <w:rPr>
          <w:rFonts w:hint="eastAsia" w:ascii="宋体" w:hAnsi="宋体" w:cs="宋体"/>
          <w:color w:val="000000"/>
          <w:sz w:val="22"/>
        </w:rPr>
        <w:t xml:space="preserve">（六）由同一单位工作人员为两家以上（含两家）供应商进行同一项投标活动的。 </w:t>
      </w:r>
    </w:p>
    <w:p>
      <w:pPr>
        <w:ind w:firstLine="440" w:firstLineChars="200"/>
        <w:rPr>
          <w:rFonts w:ascii="宋体" w:hAnsi="宋体" w:cs="宋体"/>
          <w:sz w:val="22"/>
        </w:rPr>
      </w:pPr>
      <w:r>
        <w:rPr>
          <w:rFonts w:hint="eastAsia" w:ascii="宋体" w:hAnsi="宋体" w:cs="宋体"/>
          <w:color w:val="000000"/>
          <w:sz w:val="22"/>
        </w:rPr>
        <w:t xml:space="preserve">（七）不同投标人的投标报价呈规律性差异。 </w:t>
      </w:r>
    </w:p>
    <w:p>
      <w:pPr>
        <w:ind w:firstLine="440" w:firstLineChars="200"/>
        <w:rPr>
          <w:rFonts w:ascii="宋体" w:hAnsi="宋体" w:cs="宋体"/>
          <w:sz w:val="22"/>
        </w:rPr>
      </w:pPr>
      <w:r>
        <w:rPr>
          <w:rFonts w:hint="eastAsia" w:ascii="宋体" w:hAnsi="宋体" w:cs="宋体"/>
          <w:color w:val="000000"/>
          <w:sz w:val="22"/>
        </w:rPr>
        <w:t>（八）不同投标人的投标保证金从同一单位或者个人的账户转出。</w:t>
      </w:r>
    </w:p>
    <w:p>
      <w:pPr>
        <w:ind w:firstLine="440" w:firstLineChars="200"/>
        <w:rPr>
          <w:rFonts w:ascii="宋体" w:hAnsi="宋体" w:cs="宋体"/>
          <w:sz w:val="22"/>
        </w:rPr>
      </w:pPr>
      <w:r>
        <w:rPr>
          <w:rFonts w:hint="eastAsia" w:ascii="宋体" w:hAnsi="宋体" w:cs="宋体"/>
          <w:color w:val="000000"/>
          <w:sz w:val="22"/>
        </w:rPr>
        <w:t xml:space="preserve">（九）主管部门依照法律、法规认定的其他情形。 </w:t>
      </w:r>
    </w:p>
    <w:p>
      <w:pPr>
        <w:rPr>
          <w:rFonts w:ascii="宋体" w:hAnsi="宋体" w:cs="宋体"/>
          <w:sz w:val="22"/>
        </w:rPr>
      </w:pPr>
      <w:r>
        <w:rPr>
          <w:rFonts w:hint="eastAsia" w:ascii="宋体" w:hAnsi="宋体" w:cs="宋体"/>
          <w:b/>
          <w:bCs/>
          <w:color w:val="000000"/>
          <w:sz w:val="22"/>
        </w:rPr>
        <w:t xml:space="preserve">三、本公司已充分知悉下列情形所对应的法律风险，并在投标前已对相关风险事项进行排查。 </w:t>
      </w:r>
    </w:p>
    <w:p>
      <w:pPr>
        <w:ind w:firstLine="440" w:firstLineChars="200"/>
        <w:rPr>
          <w:rFonts w:ascii="宋体" w:hAnsi="宋体" w:cs="宋体"/>
          <w:sz w:val="22"/>
        </w:rPr>
      </w:pPr>
      <w:r>
        <w:rPr>
          <w:rFonts w:hint="eastAsia" w:ascii="宋体" w:hAnsi="宋体" w:cs="宋体"/>
          <w:color w:val="000000"/>
          <w:sz w:val="22"/>
        </w:rPr>
        <w:t>（一）对于从其他主体获取的投标资料，供应商应审慎核查，确保投标资料的真实性。</w:t>
      </w:r>
      <w:r>
        <w:rPr>
          <w:rFonts w:hint="eastAsia" w:ascii="宋体" w:hAnsi="宋体" w:cs="宋体"/>
          <w:b/>
          <w:bCs/>
          <w:color w:val="000000"/>
          <w:sz w:val="22"/>
        </w:rPr>
        <w:t xml:space="preserve">如主管部门查实投标文件中存在虚假资料的，无论相关资料是否由第三方或本公司员工提供，均不影响主管部门对供应商存在“隐瞒真实情况，提供虚假资料”违法行为的认定。 </w:t>
      </w:r>
    </w:p>
    <w:p>
      <w:pPr>
        <w:ind w:firstLine="440" w:firstLineChars="200"/>
        <w:rPr>
          <w:rFonts w:ascii="宋体" w:hAnsi="宋体" w:cs="宋体"/>
          <w:sz w:val="22"/>
        </w:rPr>
      </w:pPr>
      <w:r>
        <w:rPr>
          <w:rFonts w:hint="eastAsia" w:ascii="宋体" w:hAnsi="宋体" w:cs="宋体"/>
          <w:color w:val="000000"/>
          <w:sz w:val="22"/>
        </w:rPr>
        <w:t xml:space="preserve">（二）对于涉及国家机关出具的公文、证件、证明材料等文件，一旦涉嫌虚假，经查实，主管部门将依法从严处理，并移送有关部门追究法律责任；涉嫌犯罪的，主管部门将一并移送司法机关追究法律责任。 </w:t>
      </w:r>
    </w:p>
    <w:p>
      <w:pPr>
        <w:ind w:firstLine="440" w:firstLineChars="200"/>
        <w:rPr>
          <w:rFonts w:ascii="宋体" w:hAnsi="宋体" w:cs="宋体"/>
          <w:sz w:val="22"/>
        </w:rPr>
      </w:pPr>
      <w:r>
        <w:rPr>
          <w:rFonts w:hint="eastAsia" w:ascii="宋体" w:hAnsi="宋体" w:cs="宋体"/>
          <w:color w:val="000000"/>
          <w:sz w:val="22"/>
        </w:rPr>
        <w:t xml:space="preserve">（三）对于涉及安全生产、特种作业、抢险救灾、防疫等政府采购项目，供应商实施提供虚假资料、串通投标等违法行为的，主管部门将依法从严处理。 </w:t>
      </w:r>
    </w:p>
    <w:p>
      <w:pPr>
        <w:ind w:firstLine="440" w:firstLineChars="200"/>
        <w:rPr>
          <w:rFonts w:ascii="宋体" w:hAnsi="宋体" w:cs="宋体"/>
          <w:sz w:val="22"/>
        </w:rPr>
      </w:pPr>
      <w:r>
        <w:rPr>
          <w:rFonts w:hint="eastAsia" w:ascii="宋体" w:hAnsi="宋体" w:cs="宋体"/>
          <w:color w:val="000000"/>
          <w:sz w:val="22"/>
        </w:rPr>
        <w:t xml:space="preserve">（四）供应商应严格规范项目授权代表、员工参与招标投标的行为，加强对投标文件的审核。项目授权代表、员工编制、上传投标文件等行为违反政府采购法律法规或招标文件要求的，投标供应商应当依法承担相应法律责任。 </w:t>
      </w:r>
    </w:p>
    <w:p>
      <w:pPr>
        <w:ind w:firstLine="440" w:firstLineChars="200"/>
        <w:rPr>
          <w:rFonts w:ascii="宋体" w:hAnsi="宋体" w:cs="宋体"/>
          <w:sz w:val="22"/>
        </w:rPr>
      </w:pPr>
      <w:r>
        <w:rPr>
          <w:rFonts w:hint="eastAsia" w:ascii="宋体" w:hAnsi="宋体" w:cs="宋体"/>
          <w:color w:val="000000"/>
          <w:sz w:val="22"/>
        </w:rPr>
        <w:t xml:space="preserve">（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 </w:t>
      </w:r>
    </w:p>
    <w:p>
      <w:pPr>
        <w:ind w:firstLine="440" w:firstLineChars="200"/>
        <w:rPr>
          <w:rFonts w:ascii="宋体" w:hAnsi="宋体" w:cs="宋体"/>
          <w:sz w:val="22"/>
        </w:rPr>
      </w:pPr>
      <w:r>
        <w:rPr>
          <w:rFonts w:hint="eastAsia" w:ascii="宋体" w:hAnsi="宋体" w:cs="宋体"/>
          <w:color w:val="000000"/>
          <w:sz w:val="22"/>
        </w:rPr>
        <w:t xml:space="preserve">（六）单位负责人为同一人或者存在直接控股、管理关系的不同供应商，不得参加同一合同项下的政府采购活动。相关情形如查实，依法作投标无效处理；涉嫌串通投标等违法行为的，主管部门将依法调查处理。 </w:t>
      </w:r>
    </w:p>
    <w:p>
      <w:pPr>
        <w:rPr>
          <w:rFonts w:ascii="宋体" w:hAnsi="宋体" w:cs="宋体"/>
          <w:sz w:val="22"/>
        </w:rPr>
      </w:pPr>
      <w:r>
        <w:rPr>
          <w:rFonts w:hint="eastAsia" w:ascii="宋体" w:hAnsi="宋体" w:cs="宋体"/>
          <w:b/>
          <w:bCs/>
          <w:color w:val="000000"/>
          <w:sz w:val="22"/>
        </w:rPr>
        <w:t xml:space="preserve">四、本公司已充分知悉政府采购违法、违规行为的法律后果。 </w:t>
      </w:r>
    </w:p>
    <w:p>
      <w:pPr>
        <w:ind w:firstLine="440" w:firstLineChars="200"/>
        <w:rPr>
          <w:rFonts w:ascii="宋体" w:hAnsi="宋体" w:cs="宋体"/>
          <w:sz w:val="22"/>
        </w:rPr>
      </w:pPr>
      <w:r>
        <w:rPr>
          <w:rFonts w:hint="eastAsia" w:ascii="宋体" w:hAnsi="宋体" w:cs="宋体"/>
          <w:color w:val="000000"/>
          <w:sz w:val="22"/>
        </w:rPr>
        <w:t xml:space="preserve">经查实，若投标供应商存在政府采购违法、违规行为，主管部门 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 </w:t>
      </w:r>
    </w:p>
    <w:p>
      <w:pPr>
        <w:ind w:firstLine="442" w:firstLineChars="200"/>
        <w:rPr>
          <w:rFonts w:ascii="宋体" w:hAnsi="宋体" w:cs="宋体"/>
          <w:b/>
          <w:bCs/>
          <w:color w:val="FF0000"/>
          <w:sz w:val="22"/>
        </w:rPr>
      </w:pPr>
      <w:r>
        <w:rPr>
          <w:rFonts w:hint="eastAsia" w:ascii="宋体" w:hAnsi="宋体" w:cs="宋体"/>
          <w:b/>
          <w:bCs/>
          <w:color w:val="FF0000"/>
          <w:sz w:val="22"/>
        </w:rPr>
        <w:t xml:space="preserve">以下文字请投标供应商抄写并确认：“本公司已仔细阅读《政府采购违法行为风险知悉确认书》，充分知悉违法行为的法律后果，并承诺将严谨、诚信、依法依规参与政府采购活动”。 </w:t>
      </w:r>
    </w:p>
    <w:p>
      <w:pPr>
        <w:pStyle w:val="89"/>
        <w:rPr>
          <w:rFonts w:ascii="宋体" w:hAnsi="宋体" w:eastAsia="宋体" w:cs="宋体"/>
          <w:sz w:val="22"/>
          <w:szCs w:val="22"/>
          <w:u w:val="single"/>
        </w:rPr>
      </w:pPr>
      <w:r>
        <w:rPr>
          <w:rFonts w:hint="eastAsia" w:ascii="宋体" w:hAnsi="宋体" w:eastAsia="宋体" w:cs="宋体"/>
          <w:sz w:val="22"/>
          <w:szCs w:val="22"/>
          <w:u w:val="single"/>
        </w:rPr>
        <w:t xml:space="preserve">                                                                           </w:t>
      </w:r>
    </w:p>
    <w:p>
      <w:pPr>
        <w:pStyle w:val="89"/>
        <w:rPr>
          <w:rFonts w:ascii="宋体" w:hAnsi="宋体" w:eastAsia="宋体" w:cs="宋体"/>
          <w:sz w:val="22"/>
          <w:szCs w:val="22"/>
          <w:u w:val="single"/>
        </w:rPr>
      </w:pPr>
      <w:r>
        <w:rPr>
          <w:rFonts w:hint="eastAsia" w:ascii="宋体" w:hAnsi="宋体" w:eastAsia="宋体" w:cs="宋体"/>
          <w:sz w:val="22"/>
          <w:szCs w:val="22"/>
          <w:u w:val="single"/>
        </w:rPr>
        <w:t xml:space="preserve">                                                                           </w:t>
      </w:r>
    </w:p>
    <w:p>
      <w:pPr>
        <w:pStyle w:val="89"/>
        <w:rPr>
          <w:rFonts w:ascii="宋体" w:hAnsi="宋体" w:eastAsia="宋体" w:cs="宋体"/>
          <w:sz w:val="22"/>
          <w:szCs w:val="22"/>
          <w:u w:val="single"/>
        </w:rPr>
      </w:pPr>
      <w:r>
        <w:rPr>
          <w:rFonts w:hint="eastAsia" w:ascii="宋体" w:hAnsi="宋体" w:eastAsia="宋体" w:cs="宋体"/>
          <w:sz w:val="22"/>
          <w:szCs w:val="22"/>
          <w:u w:val="single"/>
        </w:rPr>
        <w:t xml:space="preserve">                                                                           </w:t>
      </w:r>
    </w:p>
    <w:p>
      <w:pPr>
        <w:pStyle w:val="89"/>
        <w:rPr>
          <w:rFonts w:ascii="宋体" w:hAnsi="宋体" w:eastAsia="宋体" w:cs="宋体"/>
          <w:sz w:val="22"/>
          <w:szCs w:val="22"/>
          <w:u w:val="single"/>
        </w:rPr>
      </w:pPr>
      <w:r>
        <w:rPr>
          <w:rFonts w:hint="eastAsia" w:ascii="宋体" w:hAnsi="宋体" w:eastAsia="宋体" w:cs="宋体"/>
          <w:sz w:val="22"/>
          <w:szCs w:val="22"/>
          <w:u w:val="single"/>
        </w:rPr>
        <w:t xml:space="preserve">                                                                           </w:t>
      </w:r>
    </w:p>
    <w:p>
      <w:pPr>
        <w:pStyle w:val="89"/>
        <w:rPr>
          <w:rFonts w:ascii="宋体" w:hAnsi="宋体" w:eastAsia="宋体" w:cs="宋体"/>
          <w:sz w:val="22"/>
          <w:szCs w:val="22"/>
        </w:rPr>
      </w:pPr>
    </w:p>
    <w:p>
      <w:pPr>
        <w:jc w:val="right"/>
        <w:rPr>
          <w:rFonts w:ascii="宋体" w:hAnsi="宋体" w:cs="宋体"/>
          <w:sz w:val="22"/>
        </w:rPr>
      </w:pPr>
      <w:r>
        <w:rPr>
          <w:rFonts w:hint="eastAsia" w:ascii="宋体" w:hAnsi="宋体" w:cs="宋体"/>
          <w:color w:val="000000"/>
          <w:sz w:val="22"/>
        </w:rPr>
        <w:t xml:space="preserve">负责人/投标授权代表签名： </w:t>
      </w:r>
    </w:p>
    <w:p>
      <w:pPr>
        <w:jc w:val="right"/>
        <w:rPr>
          <w:rFonts w:ascii="宋体" w:hAnsi="宋体" w:cs="宋体"/>
          <w:sz w:val="22"/>
        </w:rPr>
      </w:pPr>
      <w:r>
        <w:rPr>
          <w:rFonts w:hint="eastAsia" w:ascii="宋体" w:hAnsi="宋体" w:cs="宋体"/>
          <w:color w:val="000000"/>
          <w:sz w:val="22"/>
        </w:rPr>
        <w:t xml:space="preserve">知悉人（公章）： </w:t>
      </w:r>
    </w:p>
    <w:p>
      <w:pPr>
        <w:jc w:val="right"/>
        <w:rPr>
          <w:rFonts w:ascii="宋体" w:hAnsi="宋体" w:cs="宋体"/>
          <w:sz w:val="22"/>
        </w:rPr>
      </w:pPr>
      <w:r>
        <w:rPr>
          <w:rFonts w:hint="eastAsia" w:ascii="宋体" w:hAnsi="宋体" w:cs="宋体"/>
          <w:color w:val="000000"/>
          <w:sz w:val="22"/>
        </w:rPr>
        <w:t>日期：</w:t>
      </w:r>
    </w:p>
    <w:p>
      <w:pPr>
        <w:rPr>
          <w:rFonts w:ascii="宋体" w:hAnsi="宋体" w:cs="宋体"/>
          <w:b/>
          <w:bCs/>
        </w:rPr>
      </w:pPr>
    </w:p>
    <w:p>
      <w:pPr>
        <w:pStyle w:val="43"/>
        <w:ind w:firstLine="0" w:firstLineChars="0"/>
      </w:pPr>
      <w:r>
        <w:rPr>
          <w:rFonts w:hint="eastAsia" w:ascii="宋体" w:hAnsi="宋体" w:cs="宋体"/>
          <w:b/>
          <w:bCs/>
        </w:rPr>
        <w:t>注：该风险知悉确认书用于对供应商违法行为的警示，不作为供应商资格性审查及符合性审查条件。</w:t>
      </w:r>
    </w:p>
    <w:p>
      <w:pPr>
        <w:spacing w:line="360" w:lineRule="auto"/>
        <w:rPr>
          <w:sz w:val="22"/>
        </w:rPr>
      </w:pPr>
    </w:p>
    <w:p>
      <w:pPr>
        <w:numPr>
          <w:ilvl w:val="0"/>
          <w:numId w:val="6"/>
        </w:numPr>
        <w:ind w:firstLine="0"/>
        <w:jc w:val="center"/>
        <w:outlineLvl w:val="2"/>
      </w:pPr>
      <w:r>
        <w:rPr>
          <w:sz w:val="28"/>
          <w:szCs w:val="32"/>
        </w:rPr>
        <w:br w:type="page"/>
      </w:r>
      <w:r>
        <w:rPr>
          <w:rFonts w:hint="eastAsia"/>
          <w:b/>
          <w:bCs/>
          <w:sz w:val="32"/>
          <w:szCs w:val="32"/>
        </w:rPr>
        <w:t>法定代表人证明书</w:t>
      </w:r>
    </w:p>
    <w:p>
      <w:pPr>
        <w:spacing w:line="360" w:lineRule="exact"/>
        <w:rPr>
          <w:rFonts w:cs="宋体"/>
          <w:sz w:val="22"/>
        </w:rPr>
      </w:pPr>
    </w:p>
    <w:p>
      <w:pPr>
        <w:spacing w:line="360" w:lineRule="exact"/>
        <w:rPr>
          <w:rFonts w:cs="宋体"/>
          <w:sz w:val="22"/>
        </w:rPr>
      </w:pPr>
      <w:r>
        <w:rPr>
          <w:rFonts w:hint="eastAsia" w:cs="宋体"/>
          <w:sz w:val="22"/>
        </w:rPr>
        <w:t xml:space="preserve">   </w:t>
      </w:r>
      <w:r>
        <w:rPr>
          <w:rFonts w:hint="eastAsia" w:cs="宋体"/>
          <w:sz w:val="22"/>
          <w:u w:val="single"/>
        </w:rPr>
        <w:t xml:space="preserve">         </w:t>
      </w:r>
      <w:r>
        <w:rPr>
          <w:rFonts w:hint="eastAsia" w:cs="宋体"/>
          <w:sz w:val="22"/>
        </w:rPr>
        <w:t>同志，现任我单位</w:t>
      </w:r>
      <w:r>
        <w:rPr>
          <w:rFonts w:hint="eastAsia" w:cs="宋体"/>
          <w:sz w:val="22"/>
          <w:u w:val="single"/>
        </w:rPr>
        <w:t xml:space="preserve">         </w:t>
      </w:r>
      <w:r>
        <w:rPr>
          <w:rFonts w:hint="eastAsia" w:cs="宋体"/>
          <w:sz w:val="22"/>
        </w:rPr>
        <w:t>职务，为法定代表人，特此证明。</w:t>
      </w:r>
    </w:p>
    <w:p>
      <w:pPr>
        <w:spacing w:line="360" w:lineRule="exact"/>
        <w:rPr>
          <w:rFonts w:cs="宋体"/>
          <w:sz w:val="22"/>
        </w:rPr>
      </w:pPr>
      <w:r>
        <w:rPr>
          <w:rFonts w:hint="eastAsia" w:cs="宋体"/>
          <w:sz w:val="22"/>
        </w:rPr>
        <w:t xml:space="preserve">有效日期：         签发日期：         单位：              </w:t>
      </w:r>
    </w:p>
    <w:p>
      <w:pPr>
        <w:spacing w:line="360" w:lineRule="exact"/>
        <w:rPr>
          <w:rFonts w:cs="宋体"/>
          <w:sz w:val="22"/>
        </w:rPr>
      </w:pPr>
      <w:r>
        <w:rPr>
          <w:rFonts w:hint="eastAsia" w:cs="宋体"/>
          <w:sz w:val="22"/>
        </w:rPr>
        <w:t>附：代表人性别：   年龄：      身份证号码：</w:t>
      </w:r>
    </w:p>
    <w:p>
      <w:pPr>
        <w:spacing w:line="360" w:lineRule="exact"/>
        <w:rPr>
          <w:rFonts w:cs="宋体"/>
          <w:sz w:val="22"/>
        </w:rPr>
      </w:pPr>
      <w:r>
        <w:rPr>
          <w:rFonts w:hint="eastAsia" w:cs="宋体"/>
          <w:sz w:val="22"/>
        </w:rPr>
        <w:t>营业执照号码：                 经济性质：</w:t>
      </w:r>
    </w:p>
    <w:p>
      <w:pPr>
        <w:spacing w:line="360" w:lineRule="exact"/>
        <w:rPr>
          <w:rFonts w:cs="宋体"/>
          <w:sz w:val="22"/>
        </w:rPr>
      </w:pPr>
      <w:r>
        <w:rPr>
          <w:rFonts w:hint="eastAsia" w:cs="宋体"/>
          <w:sz w:val="22"/>
        </w:rPr>
        <w:t>主营（产）：</w:t>
      </w:r>
    </w:p>
    <w:p>
      <w:pPr>
        <w:spacing w:line="360" w:lineRule="exact"/>
        <w:rPr>
          <w:rFonts w:cs="宋体"/>
          <w:sz w:val="22"/>
        </w:rPr>
      </w:pPr>
      <w:r>
        <w:rPr>
          <w:rFonts w:hint="eastAsia" w:cs="宋体"/>
          <w:sz w:val="22"/>
        </w:rPr>
        <w:t>兼营（产）：</w:t>
      </w:r>
    </w:p>
    <w:p>
      <w:pPr>
        <w:spacing w:line="360" w:lineRule="exact"/>
        <w:rPr>
          <w:rFonts w:cs="宋体"/>
          <w:sz w:val="22"/>
        </w:rPr>
      </w:pPr>
      <w:r>
        <w:rPr>
          <w:rFonts w:hint="eastAsia" w:cs="宋体"/>
          <w:sz w:val="22"/>
        </w:rPr>
        <w:t>进口物品经营许可证号码：</w:t>
      </w:r>
    </w:p>
    <w:p>
      <w:pPr>
        <w:spacing w:line="360" w:lineRule="exact"/>
        <w:rPr>
          <w:rFonts w:cs="宋体"/>
          <w:sz w:val="22"/>
        </w:rPr>
      </w:pPr>
      <w:r>
        <w:rPr>
          <w:rFonts w:hint="eastAsia" w:cs="宋体"/>
          <w:sz w:val="22"/>
        </w:rPr>
        <w:t>主营：</w:t>
      </w:r>
    </w:p>
    <w:p>
      <w:pPr>
        <w:spacing w:line="360" w:lineRule="exact"/>
        <w:rPr>
          <w:rFonts w:cs="宋体"/>
          <w:sz w:val="22"/>
        </w:rPr>
      </w:pPr>
      <w:r>
        <w:rPr>
          <w:rFonts w:hint="eastAsia" w:cs="宋体"/>
          <w:sz w:val="22"/>
        </w:rPr>
        <w:t>兼营：</w:t>
      </w:r>
    </w:p>
    <w:p>
      <w:pPr>
        <w:spacing w:line="360" w:lineRule="exact"/>
        <w:rPr>
          <w:rFonts w:cs="宋体"/>
          <w:sz w:val="22"/>
        </w:rPr>
      </w:pPr>
      <w:r>
        <w:rPr>
          <w:rFonts w:hint="eastAsia" w:cs="宋体"/>
          <w:sz w:val="22"/>
        </w:rPr>
        <w:t>说明：1、法定代表人为企业事业单位、国家机关、社会团体的主要行政负责人。</w:t>
      </w:r>
    </w:p>
    <w:p>
      <w:pPr>
        <w:spacing w:line="360" w:lineRule="exact"/>
        <w:rPr>
          <w:rFonts w:cs="宋体"/>
          <w:sz w:val="22"/>
        </w:rPr>
      </w:pPr>
      <w:r>
        <w:rPr>
          <w:rFonts w:hint="eastAsia" w:cs="宋体"/>
          <w:sz w:val="22"/>
        </w:rPr>
        <w:t xml:space="preserve">      2、内容必须填写真实、清楚，涂改无效，不得转让、买卖。</w:t>
      </w:r>
    </w:p>
    <w:p>
      <w:pPr>
        <w:spacing w:line="360" w:lineRule="exact"/>
        <w:ind w:left="660"/>
        <w:rPr>
          <w:rFonts w:cs="宋体"/>
          <w:sz w:val="22"/>
        </w:rPr>
      </w:pPr>
      <w:r>
        <w:rPr>
          <w:rFonts w:hint="eastAsia" w:cs="宋体"/>
          <w:sz w:val="22"/>
        </w:rPr>
        <w:t>3、提供法定代表人的身份证复印件（附后）。</w:t>
      </w:r>
    </w:p>
    <w:p>
      <w:pPr>
        <w:spacing w:line="360" w:lineRule="exact"/>
        <w:ind w:firstLine="663" w:firstLineChars="300"/>
        <w:rPr>
          <w:b/>
          <w:sz w:val="22"/>
        </w:rPr>
      </w:pPr>
      <w:r>
        <w:rPr>
          <w:rFonts w:hint="eastAsia"/>
          <w:b/>
          <w:sz w:val="22"/>
        </w:rPr>
        <w:t>4.提供</w:t>
      </w:r>
      <w:r>
        <w:rPr>
          <w:rFonts w:hint="eastAsia" w:cs="宋体"/>
          <w:b/>
          <w:bCs/>
          <w:color w:val="FF0000"/>
          <w:sz w:val="28"/>
          <w:szCs w:val="28"/>
        </w:rPr>
        <w:t>近一个月社保缴纳查询记录；若供应商成立不足一个月的或因社保部门原因暂时无法提供社保证明的，需提供加盖公章的情况说明或者证明材料。如为退休返聘人员则提供劳动合同或返聘协议扫描件；</w:t>
      </w:r>
    </w:p>
    <w:p/>
    <w:p>
      <w:pPr>
        <w:spacing w:line="360" w:lineRule="auto"/>
        <w:rPr>
          <w:sz w:val="22"/>
        </w:rPr>
      </w:pPr>
      <w:r>
        <w:rPr>
          <w:rFonts w:hint="eastAsia"/>
          <w:sz w:val="22"/>
        </w:rPr>
        <w:t xml:space="preserve">投标人名称（盖章）：                        </w:t>
      </w:r>
    </w:p>
    <w:p>
      <w:pPr>
        <w:spacing w:line="360" w:lineRule="auto"/>
        <w:rPr>
          <w:sz w:val="22"/>
        </w:rPr>
      </w:pPr>
      <w:r>
        <w:rPr>
          <w:rFonts w:hint="eastAsia"/>
          <w:sz w:val="22"/>
        </w:rPr>
        <w:t>日期：   年   月   日</w:t>
      </w:r>
    </w:p>
    <w:p>
      <w:pPr>
        <w:numPr>
          <w:ilvl w:val="0"/>
          <w:numId w:val="6"/>
        </w:numPr>
        <w:jc w:val="center"/>
        <w:outlineLvl w:val="2"/>
        <w:rPr>
          <w:b/>
        </w:rPr>
      </w:pPr>
      <w:r>
        <w:rPr>
          <w:bCs/>
          <w:sz w:val="24"/>
        </w:rPr>
        <w:br w:type="page"/>
      </w:r>
      <w:r>
        <w:rPr>
          <w:rFonts w:hint="eastAsia"/>
          <w:b/>
          <w:bCs/>
          <w:kern w:val="0"/>
          <w:sz w:val="32"/>
          <w:szCs w:val="36"/>
        </w:rPr>
        <w:t>法定代表人授权书</w:t>
      </w:r>
    </w:p>
    <w:p>
      <w:pPr>
        <w:rPr>
          <w:bCs/>
          <w:sz w:val="24"/>
        </w:rPr>
      </w:pPr>
    </w:p>
    <w:p>
      <w:pPr>
        <w:spacing w:line="360" w:lineRule="exact"/>
        <w:rPr>
          <w:bCs/>
          <w:sz w:val="22"/>
        </w:rPr>
      </w:pPr>
      <w:r>
        <w:rPr>
          <w:bCs/>
          <w:sz w:val="22"/>
        </w:rPr>
        <w:t>致：</w:t>
      </w:r>
      <w:r>
        <w:rPr>
          <w:rFonts w:hint="eastAsia" w:ascii="宋体" w:hAnsi="宋体" w:cs="宋体"/>
          <w:sz w:val="22"/>
        </w:rPr>
        <w:t>深圳市第二人民医院</w:t>
      </w:r>
    </w:p>
    <w:p>
      <w:pPr>
        <w:spacing w:line="360" w:lineRule="exact"/>
        <w:rPr>
          <w:bCs/>
          <w:sz w:val="22"/>
        </w:rPr>
      </w:pPr>
      <w:r>
        <w:rPr>
          <w:bCs/>
          <w:sz w:val="22"/>
        </w:rPr>
        <w:t xml:space="preserve">     </w:t>
      </w:r>
      <w:r>
        <w:rPr>
          <w:bCs/>
          <w:sz w:val="22"/>
          <w:u w:val="single"/>
        </w:rPr>
        <w:t xml:space="preserve">          （投标人全称）     </w:t>
      </w:r>
      <w:r>
        <w:rPr>
          <w:bCs/>
          <w:sz w:val="22"/>
        </w:rPr>
        <w:t xml:space="preserve"> 法定代表人</w:t>
      </w:r>
      <w:r>
        <w:rPr>
          <w:bCs/>
          <w:sz w:val="22"/>
          <w:u w:val="single"/>
        </w:rPr>
        <w:t xml:space="preserve">  （姓名、职务）              </w:t>
      </w:r>
      <w:r>
        <w:rPr>
          <w:bCs/>
          <w:sz w:val="22"/>
        </w:rPr>
        <w:t xml:space="preserve">授权 </w:t>
      </w:r>
      <w:r>
        <w:rPr>
          <w:bCs/>
          <w:sz w:val="22"/>
          <w:u w:val="single"/>
        </w:rPr>
        <w:t xml:space="preserve">  （被授权代表姓名、职务）              </w:t>
      </w:r>
      <w:r>
        <w:rPr>
          <w:bCs/>
          <w:sz w:val="22"/>
        </w:rPr>
        <w:t>为本公司合法代理人，参加贵招标代理公司组织的</w:t>
      </w:r>
      <w:r>
        <w:rPr>
          <w:bCs/>
          <w:sz w:val="22"/>
          <w:u w:val="single"/>
        </w:rPr>
        <w:t xml:space="preserve">   (项目名称)（项目编号）                      </w:t>
      </w:r>
      <w:r>
        <w:rPr>
          <w:bCs/>
          <w:sz w:val="22"/>
        </w:rPr>
        <w:t xml:space="preserve"> 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p>
    <w:p>
      <w:pPr>
        <w:spacing w:line="360" w:lineRule="exact"/>
        <w:rPr>
          <w:bCs/>
          <w:sz w:val="22"/>
        </w:rPr>
      </w:pPr>
      <w:r>
        <w:rPr>
          <w:bCs/>
          <w:sz w:val="22"/>
        </w:rPr>
        <w:t xml:space="preserve">     本授权书于</w:t>
      </w:r>
      <w:r>
        <w:rPr>
          <w:bCs/>
          <w:sz w:val="22"/>
          <w:u w:val="single"/>
        </w:rPr>
        <w:t xml:space="preserve">       </w:t>
      </w:r>
      <w:r>
        <w:rPr>
          <w:bCs/>
          <w:sz w:val="22"/>
        </w:rPr>
        <w:t>年</w:t>
      </w:r>
      <w:r>
        <w:rPr>
          <w:bCs/>
          <w:sz w:val="22"/>
          <w:u w:val="single"/>
        </w:rPr>
        <w:t xml:space="preserve">   </w:t>
      </w:r>
      <w:r>
        <w:rPr>
          <w:bCs/>
          <w:sz w:val="22"/>
        </w:rPr>
        <w:t>月</w:t>
      </w:r>
      <w:r>
        <w:rPr>
          <w:bCs/>
          <w:sz w:val="22"/>
          <w:u w:val="single"/>
        </w:rPr>
        <w:t xml:space="preserve">    </w:t>
      </w:r>
      <w:r>
        <w:rPr>
          <w:bCs/>
          <w:sz w:val="22"/>
        </w:rPr>
        <w:t>日签字生效，特此声明。</w:t>
      </w:r>
    </w:p>
    <w:p>
      <w:pPr>
        <w:spacing w:line="360" w:lineRule="exact"/>
        <w:rPr>
          <w:bCs/>
          <w:sz w:val="22"/>
        </w:rPr>
      </w:pPr>
    </w:p>
    <w:p>
      <w:pPr>
        <w:spacing w:line="360" w:lineRule="exact"/>
        <w:ind w:firstLine="110" w:firstLineChars="50"/>
        <w:rPr>
          <w:bCs/>
          <w:sz w:val="22"/>
          <w:u w:val="single"/>
        </w:rPr>
      </w:pPr>
      <w:r>
        <w:rPr>
          <w:bCs/>
          <w:sz w:val="22"/>
        </w:rPr>
        <w:t>被授权人：</w:t>
      </w:r>
      <w:r>
        <w:rPr>
          <w:bCs/>
          <w:sz w:val="22"/>
          <w:u w:val="single"/>
        </w:rPr>
        <w:t xml:space="preserve">                  </w:t>
      </w:r>
      <w:r>
        <w:rPr>
          <w:bCs/>
          <w:sz w:val="22"/>
        </w:rPr>
        <w:t xml:space="preserve">   职务：</w:t>
      </w:r>
      <w:r>
        <w:rPr>
          <w:bCs/>
          <w:sz w:val="22"/>
          <w:u w:val="single"/>
        </w:rPr>
        <w:t xml:space="preserve">                  </w:t>
      </w:r>
    </w:p>
    <w:p>
      <w:pPr>
        <w:spacing w:line="360" w:lineRule="exact"/>
        <w:ind w:firstLine="110" w:firstLineChars="50"/>
        <w:rPr>
          <w:bCs/>
          <w:sz w:val="22"/>
          <w:u w:val="single"/>
        </w:rPr>
      </w:pPr>
      <w:r>
        <w:rPr>
          <w:bCs/>
          <w:sz w:val="22"/>
        </w:rPr>
        <w:t>联系电话：</w:t>
      </w:r>
      <w:r>
        <w:rPr>
          <w:bCs/>
          <w:sz w:val="22"/>
          <w:u w:val="single"/>
        </w:rPr>
        <w:t xml:space="preserve">                  </w:t>
      </w:r>
      <w:r>
        <w:rPr>
          <w:bCs/>
          <w:sz w:val="22"/>
        </w:rPr>
        <w:t xml:space="preserve">   手机：</w:t>
      </w:r>
      <w:r>
        <w:rPr>
          <w:bCs/>
          <w:sz w:val="22"/>
          <w:u w:val="single"/>
        </w:rPr>
        <w:t xml:space="preserve">                  </w:t>
      </w:r>
    </w:p>
    <w:p>
      <w:pPr>
        <w:spacing w:line="360" w:lineRule="exact"/>
        <w:ind w:firstLine="110" w:firstLineChars="50"/>
        <w:rPr>
          <w:bCs/>
          <w:sz w:val="22"/>
        </w:rPr>
      </w:pPr>
      <w:r>
        <w:rPr>
          <w:bCs/>
          <w:sz w:val="22"/>
        </w:rPr>
        <w:t>身份证号码：</w:t>
      </w:r>
      <w:r>
        <w:rPr>
          <w:bCs/>
          <w:sz w:val="22"/>
          <w:u w:val="single"/>
        </w:rPr>
        <w:t xml:space="preserve">                                           </w:t>
      </w:r>
    </w:p>
    <w:p>
      <w:pPr>
        <w:spacing w:line="360" w:lineRule="exact"/>
        <w:ind w:firstLine="110" w:firstLineChars="50"/>
        <w:rPr>
          <w:bCs/>
          <w:sz w:val="22"/>
          <w:u w:val="single"/>
        </w:rPr>
      </w:pPr>
      <w:r>
        <w:rPr>
          <w:bCs/>
          <w:sz w:val="22"/>
        </w:rPr>
        <w:t>投标人（盖章）：</w:t>
      </w:r>
      <w:r>
        <w:rPr>
          <w:bCs/>
          <w:sz w:val="22"/>
          <w:u w:val="single"/>
        </w:rPr>
        <w:t xml:space="preserve">                                        </w:t>
      </w:r>
    </w:p>
    <w:p>
      <w:pPr>
        <w:spacing w:line="360" w:lineRule="exact"/>
        <w:ind w:firstLine="110" w:firstLineChars="50"/>
        <w:rPr>
          <w:bCs/>
          <w:sz w:val="22"/>
          <w:u w:val="single"/>
        </w:rPr>
      </w:pPr>
      <w:r>
        <w:rPr>
          <w:bCs/>
          <w:sz w:val="22"/>
        </w:rPr>
        <w:t>法定代表人（签名）：</w:t>
      </w:r>
      <w:r>
        <w:rPr>
          <w:bCs/>
          <w:sz w:val="22"/>
          <w:u w:val="single"/>
        </w:rPr>
        <w:t xml:space="preserve">                                    </w:t>
      </w:r>
    </w:p>
    <w:p>
      <w:pPr>
        <w:spacing w:line="360" w:lineRule="exact"/>
        <w:ind w:firstLine="110" w:firstLineChars="50"/>
        <w:rPr>
          <w:bCs/>
          <w:sz w:val="22"/>
          <w:u w:val="single"/>
        </w:rPr>
      </w:pPr>
      <w:r>
        <w:rPr>
          <w:bCs/>
          <w:sz w:val="22"/>
        </w:rPr>
        <w:t>被授权人（签名）：</w:t>
      </w:r>
      <w:r>
        <w:rPr>
          <w:bCs/>
          <w:sz w:val="22"/>
          <w:u w:val="single"/>
        </w:rPr>
        <w:t xml:space="preserve">                                      </w:t>
      </w:r>
    </w:p>
    <w:p>
      <w:pPr>
        <w:spacing w:line="360" w:lineRule="exact"/>
        <w:rPr>
          <w:bCs/>
          <w:sz w:val="22"/>
        </w:rPr>
      </w:pPr>
    </w:p>
    <w:p>
      <w:pPr>
        <w:spacing w:line="360" w:lineRule="exact"/>
        <w:rPr>
          <w:bCs/>
          <w:sz w:val="22"/>
        </w:rPr>
      </w:pPr>
      <w:r>
        <w:rPr>
          <w:bCs/>
          <w:sz w:val="22"/>
        </w:rPr>
        <w:t>说明：1.本授权委托书要求投标人提供有</w:t>
      </w:r>
      <w:r>
        <w:rPr>
          <w:b/>
          <w:bCs/>
          <w:sz w:val="22"/>
        </w:rPr>
        <w:t>代理人签字、法定代表人的签字（或盖私章）和加盖公章</w:t>
      </w:r>
      <w:r>
        <w:rPr>
          <w:bCs/>
          <w:sz w:val="22"/>
        </w:rPr>
        <w:t>后的原件方为有效；</w:t>
      </w:r>
    </w:p>
    <w:p>
      <w:pPr>
        <w:spacing w:line="360" w:lineRule="exact"/>
        <w:ind w:firstLine="660" w:firstLineChars="300"/>
        <w:rPr>
          <w:bCs/>
          <w:sz w:val="22"/>
        </w:rPr>
      </w:pPr>
      <w:r>
        <w:rPr>
          <w:bCs/>
          <w:sz w:val="22"/>
        </w:rPr>
        <w:t>2.</w:t>
      </w:r>
      <w:r>
        <w:rPr>
          <w:rFonts w:hint="eastAsia"/>
          <w:b/>
          <w:sz w:val="22"/>
        </w:rPr>
        <w:t>提供</w:t>
      </w:r>
      <w:r>
        <w:rPr>
          <w:rFonts w:hint="eastAsia" w:cs="宋体"/>
          <w:b/>
          <w:bCs/>
          <w:color w:val="FF0000"/>
          <w:sz w:val="28"/>
          <w:szCs w:val="28"/>
        </w:rPr>
        <w:t>近一个月社保缴纳查询记录；若供应商成立不足一个月的或因社保部门原因暂时无法提供社保证明的，需提供加盖公章的情况说明或者证明材料。如为退休返聘人员则提供劳动合同或返聘协议扫描件；</w:t>
      </w:r>
    </w:p>
    <w:p>
      <w:pPr>
        <w:spacing w:line="360" w:lineRule="exact"/>
        <w:ind w:firstLine="660" w:firstLineChars="300"/>
        <w:rPr>
          <w:bCs/>
          <w:sz w:val="22"/>
        </w:rPr>
      </w:pPr>
      <w:r>
        <w:rPr>
          <w:rFonts w:hint="eastAsia"/>
          <w:bCs/>
          <w:sz w:val="22"/>
        </w:rPr>
        <w:t>3.</w:t>
      </w:r>
      <w:r>
        <w:rPr>
          <w:bCs/>
          <w:sz w:val="22"/>
        </w:rPr>
        <w:t>提供代理人的身份证复印件（附后）。</w:t>
      </w:r>
    </w:p>
    <w:p>
      <w:pPr>
        <w:rPr>
          <w:b/>
          <w:sz w:val="24"/>
        </w:rPr>
      </w:pPr>
    </w:p>
    <w:p>
      <w:pPr>
        <w:jc w:val="center"/>
        <w:rPr>
          <w:b/>
          <w:bCs/>
          <w:sz w:val="32"/>
          <w:szCs w:val="32"/>
        </w:rPr>
      </w:pPr>
    </w:p>
    <w:p>
      <w:pPr>
        <w:numPr>
          <w:ilvl w:val="0"/>
          <w:numId w:val="6"/>
        </w:numPr>
        <w:jc w:val="center"/>
        <w:outlineLvl w:val="2"/>
        <w:rPr>
          <w:b/>
          <w:bCs/>
          <w:kern w:val="0"/>
          <w:sz w:val="28"/>
          <w:szCs w:val="32"/>
        </w:rPr>
      </w:pPr>
      <w:r>
        <w:rPr>
          <w:b/>
          <w:bCs/>
          <w:sz w:val="32"/>
          <w:szCs w:val="32"/>
        </w:rPr>
        <w:br w:type="page"/>
      </w:r>
      <w:r>
        <w:rPr>
          <w:rFonts w:hint="eastAsia"/>
          <w:b/>
          <w:bCs/>
          <w:kern w:val="0"/>
          <w:sz w:val="32"/>
          <w:szCs w:val="32"/>
        </w:rPr>
        <w:t>报价清单表</w:t>
      </w:r>
    </w:p>
    <w:p>
      <w:pPr>
        <w:pStyle w:val="5"/>
        <w:numPr>
          <w:ilvl w:val="0"/>
          <w:numId w:val="7"/>
        </w:numPr>
      </w:pPr>
      <w:r>
        <w:rPr>
          <w:rFonts w:hint="eastAsia"/>
        </w:rPr>
        <w:t>开标一览表</w:t>
      </w:r>
    </w:p>
    <w:tbl>
      <w:tblPr>
        <w:tblStyle w:val="4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3083"/>
        <w:gridCol w:w="3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20" w:hRule="atLeast"/>
          <w:jc w:val="center"/>
        </w:trPr>
        <w:tc>
          <w:tcPr>
            <w:tcW w:w="1029" w:type="pct"/>
            <w:vAlign w:val="center"/>
          </w:tcPr>
          <w:p>
            <w:pPr>
              <w:spacing w:line="360" w:lineRule="exact"/>
              <w:jc w:val="center"/>
              <w:rPr>
                <w:snapToGrid w:val="0"/>
                <w:kern w:val="0"/>
                <w:sz w:val="22"/>
              </w:rPr>
            </w:pPr>
            <w:r>
              <w:rPr>
                <w:bCs/>
                <w:snapToGrid w:val="0"/>
                <w:kern w:val="0"/>
                <w:sz w:val="22"/>
              </w:rPr>
              <w:t>项目编号</w:t>
            </w:r>
          </w:p>
        </w:tc>
        <w:tc>
          <w:tcPr>
            <w:tcW w:w="1809" w:type="pct"/>
            <w:vAlign w:val="center"/>
          </w:tcPr>
          <w:p>
            <w:pPr>
              <w:spacing w:line="360" w:lineRule="exact"/>
              <w:jc w:val="center"/>
              <w:rPr>
                <w:snapToGrid w:val="0"/>
                <w:kern w:val="0"/>
                <w:sz w:val="22"/>
              </w:rPr>
            </w:pPr>
            <w:r>
              <w:rPr>
                <w:snapToGrid w:val="0"/>
                <w:kern w:val="0"/>
                <w:sz w:val="22"/>
              </w:rPr>
              <w:t>项目名称</w:t>
            </w:r>
          </w:p>
        </w:tc>
        <w:tc>
          <w:tcPr>
            <w:tcW w:w="2161" w:type="pct"/>
            <w:vAlign w:val="center"/>
          </w:tcPr>
          <w:p>
            <w:pPr>
              <w:spacing w:line="360" w:lineRule="exact"/>
              <w:jc w:val="center"/>
              <w:rPr>
                <w:snapToGrid w:val="0"/>
                <w:kern w:val="0"/>
                <w:sz w:val="22"/>
              </w:rPr>
            </w:pPr>
            <w:r>
              <w:rPr>
                <w:snapToGrid w:val="0"/>
                <w:kern w:val="0"/>
                <w:sz w:val="22"/>
              </w:rPr>
              <w:t>投标报价（元）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029" w:type="pct"/>
            <w:vAlign w:val="center"/>
          </w:tcPr>
          <w:p>
            <w:pPr>
              <w:spacing w:line="360" w:lineRule="exact"/>
              <w:jc w:val="center"/>
              <w:rPr>
                <w:snapToGrid w:val="0"/>
                <w:kern w:val="0"/>
                <w:sz w:val="22"/>
              </w:rPr>
            </w:pPr>
          </w:p>
        </w:tc>
        <w:tc>
          <w:tcPr>
            <w:tcW w:w="1809" w:type="pct"/>
            <w:vAlign w:val="center"/>
          </w:tcPr>
          <w:p>
            <w:pPr>
              <w:widowControl/>
              <w:spacing w:line="360" w:lineRule="exact"/>
              <w:jc w:val="center"/>
              <w:rPr>
                <w:kern w:val="0"/>
                <w:sz w:val="22"/>
              </w:rPr>
            </w:pPr>
          </w:p>
        </w:tc>
        <w:tc>
          <w:tcPr>
            <w:tcW w:w="2161" w:type="pct"/>
            <w:vAlign w:val="center"/>
          </w:tcPr>
          <w:p>
            <w:pPr>
              <w:spacing w:line="360" w:lineRule="exact"/>
              <w:rPr>
                <w:snapToGrid w:val="0"/>
                <w:kern w:val="0"/>
                <w:sz w:val="22"/>
              </w:rPr>
            </w:pPr>
            <w:r>
              <w:rPr>
                <w:snapToGrid w:val="0"/>
                <w:kern w:val="0"/>
                <w:sz w:val="22"/>
              </w:rPr>
              <w:t>大写：</w:t>
            </w:r>
          </w:p>
          <w:p>
            <w:pPr>
              <w:spacing w:line="360" w:lineRule="exact"/>
              <w:rPr>
                <w:snapToGrid w:val="0"/>
                <w:kern w:val="0"/>
                <w:sz w:val="22"/>
              </w:rPr>
            </w:pPr>
            <w:r>
              <w:rPr>
                <w:snapToGrid w:val="0"/>
                <w:kern w:val="0"/>
                <w:sz w:val="22"/>
              </w:rPr>
              <w:t>小写：</w:t>
            </w:r>
          </w:p>
        </w:tc>
      </w:tr>
    </w:tbl>
    <w:p>
      <w:pPr>
        <w:spacing w:line="360" w:lineRule="exact"/>
        <w:rPr>
          <w:snapToGrid w:val="0"/>
          <w:kern w:val="0"/>
          <w:sz w:val="22"/>
        </w:rPr>
      </w:pPr>
    </w:p>
    <w:p>
      <w:pPr>
        <w:spacing w:line="360" w:lineRule="exact"/>
        <w:ind w:right="2100" w:rightChars="1000"/>
        <w:jc w:val="right"/>
        <w:rPr>
          <w:snapToGrid w:val="0"/>
          <w:kern w:val="0"/>
          <w:sz w:val="22"/>
        </w:rPr>
      </w:pPr>
    </w:p>
    <w:p>
      <w:pPr>
        <w:spacing w:line="360" w:lineRule="exact"/>
        <w:ind w:right="2100" w:rightChars="1000"/>
        <w:jc w:val="left"/>
        <w:rPr>
          <w:rFonts w:ascii="宋体" w:hAnsi="宋体" w:cs="宋体"/>
          <w:snapToGrid w:val="0"/>
          <w:kern w:val="0"/>
          <w:sz w:val="22"/>
          <w:szCs w:val="24"/>
        </w:rPr>
      </w:pPr>
      <w:r>
        <w:rPr>
          <w:rFonts w:hint="eastAsia" w:ascii="宋体" w:hAnsi="宋体" w:cs="宋体"/>
          <w:snapToGrid w:val="0"/>
          <w:kern w:val="0"/>
          <w:sz w:val="22"/>
          <w:szCs w:val="24"/>
          <w:lang w:val="zh-CN"/>
        </w:rPr>
        <w:t>法定代表人（</w:t>
      </w:r>
      <w:r>
        <w:rPr>
          <w:rFonts w:hint="eastAsia" w:ascii="宋体" w:hAnsi="宋体" w:cs="宋体"/>
          <w:snapToGrid w:val="0"/>
          <w:kern w:val="0"/>
          <w:sz w:val="22"/>
          <w:szCs w:val="24"/>
        </w:rPr>
        <w:t>单位负责人</w:t>
      </w:r>
      <w:r>
        <w:rPr>
          <w:rFonts w:hint="eastAsia" w:ascii="宋体" w:hAnsi="宋体" w:cs="宋体"/>
          <w:snapToGrid w:val="0"/>
          <w:kern w:val="0"/>
          <w:sz w:val="22"/>
          <w:szCs w:val="24"/>
          <w:lang w:val="zh-CN"/>
        </w:rPr>
        <w:t>）或其授权代表（签字</w:t>
      </w:r>
      <w:r>
        <w:rPr>
          <w:rFonts w:hint="eastAsia" w:ascii="宋体" w:hAnsi="宋体" w:cs="宋体"/>
          <w:snapToGrid w:val="0"/>
          <w:kern w:val="0"/>
          <w:sz w:val="22"/>
          <w:szCs w:val="24"/>
        </w:rPr>
        <w:t>或盖章</w:t>
      </w:r>
      <w:r>
        <w:rPr>
          <w:rFonts w:hint="eastAsia" w:ascii="宋体" w:hAnsi="宋体" w:cs="宋体"/>
          <w:snapToGrid w:val="0"/>
          <w:kern w:val="0"/>
          <w:sz w:val="22"/>
          <w:szCs w:val="24"/>
          <w:lang w:val="zh-CN"/>
        </w:rPr>
        <w:t>）</w:t>
      </w:r>
      <w:r>
        <w:rPr>
          <w:rFonts w:hint="eastAsia" w:ascii="宋体" w:hAnsi="宋体" w:cs="宋体"/>
          <w:snapToGrid w:val="0"/>
          <w:kern w:val="0"/>
          <w:sz w:val="22"/>
          <w:szCs w:val="24"/>
        </w:rPr>
        <w:t xml:space="preserve">：                   </w:t>
      </w:r>
    </w:p>
    <w:p>
      <w:pPr>
        <w:spacing w:line="360" w:lineRule="exact"/>
        <w:ind w:right="2100" w:rightChars="1000"/>
        <w:jc w:val="left"/>
        <w:rPr>
          <w:rFonts w:ascii="宋体" w:hAnsi="宋体" w:cs="宋体"/>
          <w:snapToGrid w:val="0"/>
          <w:kern w:val="0"/>
          <w:sz w:val="22"/>
          <w:szCs w:val="24"/>
        </w:rPr>
      </w:pPr>
      <w:r>
        <w:rPr>
          <w:rFonts w:hint="eastAsia" w:ascii="宋体" w:hAnsi="宋体" w:cs="宋体"/>
          <w:snapToGrid w:val="0"/>
          <w:kern w:val="0"/>
          <w:sz w:val="22"/>
          <w:szCs w:val="24"/>
        </w:rPr>
        <w:t xml:space="preserve">投标人名称（盖章）：                        </w:t>
      </w:r>
    </w:p>
    <w:p>
      <w:pPr>
        <w:spacing w:line="360" w:lineRule="exact"/>
        <w:ind w:right="2100" w:rightChars="1000"/>
        <w:jc w:val="left"/>
        <w:rPr>
          <w:rFonts w:ascii="宋体" w:hAnsi="宋体" w:cs="宋体"/>
          <w:snapToGrid w:val="0"/>
          <w:kern w:val="0"/>
          <w:sz w:val="22"/>
          <w:szCs w:val="24"/>
        </w:rPr>
      </w:pPr>
      <w:r>
        <w:rPr>
          <w:rFonts w:hint="eastAsia" w:ascii="宋体" w:hAnsi="宋体" w:cs="宋体"/>
          <w:snapToGrid w:val="0"/>
          <w:kern w:val="0"/>
          <w:sz w:val="22"/>
          <w:szCs w:val="24"/>
        </w:rPr>
        <w:t>日期：   年   月   日</w:t>
      </w:r>
    </w:p>
    <w:p>
      <w:pPr>
        <w:pStyle w:val="5"/>
        <w:numPr>
          <w:ilvl w:val="0"/>
          <w:numId w:val="7"/>
        </w:numPr>
        <w:rPr>
          <w:b w:val="0"/>
          <w:sz w:val="22"/>
        </w:rPr>
      </w:pPr>
      <w:r>
        <w:rPr>
          <w:b w:val="0"/>
          <w:sz w:val="22"/>
          <w:highlight w:val="yellow"/>
        </w:rPr>
        <w:br w:type="page"/>
      </w:r>
      <w:r>
        <w:rPr>
          <w:rFonts w:hint="eastAsia"/>
          <w:b w:val="0"/>
        </w:rPr>
        <w:t>分项报价表</w:t>
      </w:r>
    </w:p>
    <w:tbl>
      <w:tblPr>
        <w:tblStyle w:val="4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
        <w:gridCol w:w="1025"/>
        <w:gridCol w:w="855"/>
        <w:gridCol w:w="933"/>
        <w:gridCol w:w="835"/>
        <w:gridCol w:w="651"/>
        <w:gridCol w:w="542"/>
        <w:gridCol w:w="567"/>
        <w:gridCol w:w="710"/>
        <w:gridCol w:w="794"/>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 w:type="pct"/>
            <w:vAlign w:val="center"/>
          </w:tcPr>
          <w:p>
            <w:pPr>
              <w:spacing w:line="360" w:lineRule="exact"/>
              <w:jc w:val="center"/>
              <w:rPr>
                <w:sz w:val="22"/>
              </w:rPr>
            </w:pPr>
            <w:r>
              <w:rPr>
                <w:sz w:val="22"/>
              </w:rPr>
              <w:t>序号</w:t>
            </w:r>
          </w:p>
        </w:tc>
        <w:tc>
          <w:tcPr>
            <w:tcW w:w="602" w:type="pct"/>
            <w:vAlign w:val="center"/>
          </w:tcPr>
          <w:p>
            <w:pPr>
              <w:spacing w:line="360" w:lineRule="exact"/>
              <w:jc w:val="center"/>
              <w:rPr>
                <w:sz w:val="22"/>
              </w:rPr>
            </w:pPr>
            <w:r>
              <w:rPr>
                <w:sz w:val="22"/>
              </w:rPr>
              <w:t>采购计划编号</w:t>
            </w:r>
          </w:p>
        </w:tc>
        <w:tc>
          <w:tcPr>
            <w:tcW w:w="502" w:type="pct"/>
            <w:vAlign w:val="center"/>
          </w:tcPr>
          <w:p>
            <w:pPr>
              <w:spacing w:line="360" w:lineRule="exact"/>
              <w:jc w:val="center"/>
              <w:rPr>
                <w:sz w:val="22"/>
              </w:rPr>
            </w:pPr>
            <w:r>
              <w:rPr>
                <w:sz w:val="22"/>
              </w:rPr>
              <w:t>货物名称</w:t>
            </w:r>
          </w:p>
        </w:tc>
        <w:tc>
          <w:tcPr>
            <w:tcW w:w="548" w:type="pct"/>
            <w:vAlign w:val="center"/>
          </w:tcPr>
          <w:p>
            <w:pPr>
              <w:spacing w:line="360" w:lineRule="exact"/>
              <w:jc w:val="center"/>
              <w:rPr>
                <w:sz w:val="22"/>
              </w:rPr>
            </w:pPr>
            <w:r>
              <w:rPr>
                <w:sz w:val="22"/>
              </w:rPr>
              <w:t>规格及型号</w:t>
            </w:r>
          </w:p>
        </w:tc>
        <w:tc>
          <w:tcPr>
            <w:tcW w:w="490" w:type="pct"/>
            <w:vAlign w:val="center"/>
          </w:tcPr>
          <w:p>
            <w:pPr>
              <w:spacing w:line="360" w:lineRule="exact"/>
              <w:jc w:val="center"/>
              <w:rPr>
                <w:sz w:val="22"/>
              </w:rPr>
            </w:pPr>
            <w:r>
              <w:rPr>
                <w:sz w:val="22"/>
              </w:rPr>
              <w:t>原产地</w:t>
            </w:r>
          </w:p>
        </w:tc>
        <w:tc>
          <w:tcPr>
            <w:tcW w:w="382" w:type="pct"/>
            <w:vAlign w:val="center"/>
          </w:tcPr>
          <w:p>
            <w:pPr>
              <w:spacing w:line="360" w:lineRule="exact"/>
              <w:jc w:val="center"/>
              <w:rPr>
                <w:sz w:val="22"/>
              </w:rPr>
            </w:pPr>
            <w:r>
              <w:rPr>
                <w:sz w:val="22"/>
              </w:rPr>
              <w:t>品牌</w:t>
            </w:r>
          </w:p>
        </w:tc>
        <w:tc>
          <w:tcPr>
            <w:tcW w:w="318" w:type="pct"/>
            <w:vAlign w:val="center"/>
          </w:tcPr>
          <w:p>
            <w:pPr>
              <w:spacing w:line="360" w:lineRule="exact"/>
              <w:jc w:val="center"/>
              <w:rPr>
                <w:sz w:val="22"/>
              </w:rPr>
            </w:pPr>
            <w:r>
              <w:rPr>
                <w:sz w:val="22"/>
              </w:rPr>
              <w:t>数量</w:t>
            </w:r>
          </w:p>
        </w:tc>
        <w:tc>
          <w:tcPr>
            <w:tcW w:w="333" w:type="pct"/>
            <w:vAlign w:val="center"/>
          </w:tcPr>
          <w:p>
            <w:pPr>
              <w:spacing w:line="360" w:lineRule="exact"/>
              <w:jc w:val="center"/>
              <w:rPr>
                <w:sz w:val="22"/>
              </w:rPr>
            </w:pPr>
            <w:r>
              <w:rPr>
                <w:sz w:val="22"/>
              </w:rPr>
              <w:t>单位</w:t>
            </w:r>
          </w:p>
        </w:tc>
        <w:tc>
          <w:tcPr>
            <w:tcW w:w="417" w:type="pct"/>
            <w:vAlign w:val="center"/>
          </w:tcPr>
          <w:p>
            <w:pPr>
              <w:spacing w:line="360" w:lineRule="exact"/>
              <w:jc w:val="center"/>
              <w:rPr>
                <w:sz w:val="22"/>
              </w:rPr>
            </w:pPr>
            <w:r>
              <w:rPr>
                <w:sz w:val="22"/>
              </w:rPr>
              <w:t>单价(元)</w:t>
            </w:r>
          </w:p>
        </w:tc>
        <w:tc>
          <w:tcPr>
            <w:tcW w:w="466" w:type="pct"/>
            <w:vAlign w:val="center"/>
          </w:tcPr>
          <w:p>
            <w:pPr>
              <w:spacing w:line="360" w:lineRule="exact"/>
              <w:jc w:val="center"/>
              <w:rPr>
                <w:sz w:val="22"/>
              </w:rPr>
            </w:pPr>
            <w:r>
              <w:rPr>
                <w:sz w:val="22"/>
              </w:rPr>
              <w:t>合价(元)</w:t>
            </w:r>
          </w:p>
        </w:tc>
        <w:tc>
          <w:tcPr>
            <w:tcW w:w="644" w:type="pct"/>
            <w:vAlign w:val="center"/>
          </w:tcPr>
          <w:p>
            <w:pPr>
              <w:spacing w:line="360" w:lineRule="exact"/>
              <w:jc w:val="center"/>
              <w:rPr>
                <w:sz w:val="22"/>
              </w:rPr>
            </w:pPr>
            <w:r>
              <w:rPr>
                <w:sz w:val="22"/>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 w:type="pct"/>
          </w:tcPr>
          <w:p>
            <w:pPr>
              <w:spacing w:line="360" w:lineRule="exact"/>
              <w:rPr>
                <w:sz w:val="22"/>
              </w:rPr>
            </w:pPr>
          </w:p>
        </w:tc>
        <w:tc>
          <w:tcPr>
            <w:tcW w:w="602" w:type="pct"/>
          </w:tcPr>
          <w:p>
            <w:pPr>
              <w:spacing w:line="360" w:lineRule="exact"/>
              <w:rPr>
                <w:sz w:val="22"/>
              </w:rPr>
            </w:pPr>
          </w:p>
        </w:tc>
        <w:tc>
          <w:tcPr>
            <w:tcW w:w="502" w:type="pct"/>
          </w:tcPr>
          <w:p>
            <w:pPr>
              <w:spacing w:line="360" w:lineRule="exact"/>
              <w:rPr>
                <w:sz w:val="22"/>
              </w:rPr>
            </w:pPr>
          </w:p>
        </w:tc>
        <w:tc>
          <w:tcPr>
            <w:tcW w:w="548" w:type="pct"/>
          </w:tcPr>
          <w:p>
            <w:pPr>
              <w:spacing w:line="360" w:lineRule="exact"/>
              <w:rPr>
                <w:sz w:val="22"/>
              </w:rPr>
            </w:pPr>
          </w:p>
        </w:tc>
        <w:tc>
          <w:tcPr>
            <w:tcW w:w="490" w:type="pct"/>
          </w:tcPr>
          <w:p>
            <w:pPr>
              <w:spacing w:line="360" w:lineRule="exact"/>
              <w:rPr>
                <w:sz w:val="22"/>
              </w:rPr>
            </w:pPr>
          </w:p>
        </w:tc>
        <w:tc>
          <w:tcPr>
            <w:tcW w:w="382" w:type="pct"/>
          </w:tcPr>
          <w:p>
            <w:pPr>
              <w:spacing w:line="360" w:lineRule="exact"/>
              <w:rPr>
                <w:sz w:val="22"/>
              </w:rPr>
            </w:pPr>
          </w:p>
        </w:tc>
        <w:tc>
          <w:tcPr>
            <w:tcW w:w="318" w:type="pct"/>
          </w:tcPr>
          <w:p>
            <w:pPr>
              <w:spacing w:line="360" w:lineRule="exact"/>
              <w:rPr>
                <w:sz w:val="22"/>
              </w:rPr>
            </w:pPr>
          </w:p>
        </w:tc>
        <w:tc>
          <w:tcPr>
            <w:tcW w:w="333" w:type="pct"/>
          </w:tcPr>
          <w:p>
            <w:pPr>
              <w:spacing w:line="360" w:lineRule="exact"/>
              <w:rPr>
                <w:sz w:val="22"/>
              </w:rPr>
            </w:pPr>
          </w:p>
        </w:tc>
        <w:tc>
          <w:tcPr>
            <w:tcW w:w="417" w:type="pct"/>
          </w:tcPr>
          <w:p>
            <w:pPr>
              <w:spacing w:line="360" w:lineRule="exact"/>
              <w:rPr>
                <w:sz w:val="22"/>
              </w:rPr>
            </w:pPr>
          </w:p>
        </w:tc>
        <w:tc>
          <w:tcPr>
            <w:tcW w:w="466" w:type="pct"/>
          </w:tcPr>
          <w:p>
            <w:pPr>
              <w:spacing w:line="360" w:lineRule="exact"/>
              <w:rPr>
                <w:sz w:val="22"/>
              </w:rPr>
            </w:pPr>
          </w:p>
        </w:tc>
        <w:tc>
          <w:tcPr>
            <w:tcW w:w="644" w:type="pct"/>
          </w:tcPr>
          <w:p>
            <w:pPr>
              <w:spacing w:line="360" w:lineRule="exac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 w:type="pct"/>
          </w:tcPr>
          <w:p>
            <w:pPr>
              <w:spacing w:line="360" w:lineRule="exact"/>
              <w:rPr>
                <w:sz w:val="22"/>
              </w:rPr>
            </w:pPr>
          </w:p>
        </w:tc>
        <w:tc>
          <w:tcPr>
            <w:tcW w:w="602" w:type="pct"/>
          </w:tcPr>
          <w:p>
            <w:pPr>
              <w:spacing w:line="360" w:lineRule="exact"/>
              <w:rPr>
                <w:sz w:val="22"/>
              </w:rPr>
            </w:pPr>
          </w:p>
        </w:tc>
        <w:tc>
          <w:tcPr>
            <w:tcW w:w="502" w:type="pct"/>
          </w:tcPr>
          <w:p>
            <w:pPr>
              <w:spacing w:line="360" w:lineRule="exact"/>
              <w:rPr>
                <w:sz w:val="22"/>
              </w:rPr>
            </w:pPr>
          </w:p>
        </w:tc>
        <w:tc>
          <w:tcPr>
            <w:tcW w:w="548" w:type="pct"/>
          </w:tcPr>
          <w:p>
            <w:pPr>
              <w:spacing w:line="360" w:lineRule="exact"/>
              <w:rPr>
                <w:sz w:val="22"/>
              </w:rPr>
            </w:pPr>
          </w:p>
        </w:tc>
        <w:tc>
          <w:tcPr>
            <w:tcW w:w="490" w:type="pct"/>
          </w:tcPr>
          <w:p>
            <w:pPr>
              <w:spacing w:line="360" w:lineRule="exact"/>
              <w:rPr>
                <w:sz w:val="22"/>
              </w:rPr>
            </w:pPr>
          </w:p>
        </w:tc>
        <w:tc>
          <w:tcPr>
            <w:tcW w:w="382" w:type="pct"/>
          </w:tcPr>
          <w:p>
            <w:pPr>
              <w:spacing w:line="360" w:lineRule="exact"/>
              <w:rPr>
                <w:sz w:val="22"/>
              </w:rPr>
            </w:pPr>
          </w:p>
        </w:tc>
        <w:tc>
          <w:tcPr>
            <w:tcW w:w="318" w:type="pct"/>
          </w:tcPr>
          <w:p>
            <w:pPr>
              <w:spacing w:line="360" w:lineRule="exact"/>
              <w:rPr>
                <w:sz w:val="22"/>
              </w:rPr>
            </w:pPr>
          </w:p>
        </w:tc>
        <w:tc>
          <w:tcPr>
            <w:tcW w:w="333" w:type="pct"/>
          </w:tcPr>
          <w:p>
            <w:pPr>
              <w:spacing w:line="360" w:lineRule="exact"/>
              <w:rPr>
                <w:sz w:val="22"/>
              </w:rPr>
            </w:pPr>
          </w:p>
        </w:tc>
        <w:tc>
          <w:tcPr>
            <w:tcW w:w="417" w:type="pct"/>
          </w:tcPr>
          <w:p>
            <w:pPr>
              <w:spacing w:line="360" w:lineRule="exact"/>
              <w:rPr>
                <w:sz w:val="22"/>
              </w:rPr>
            </w:pPr>
          </w:p>
        </w:tc>
        <w:tc>
          <w:tcPr>
            <w:tcW w:w="466" w:type="pct"/>
          </w:tcPr>
          <w:p>
            <w:pPr>
              <w:spacing w:line="360" w:lineRule="exact"/>
              <w:rPr>
                <w:sz w:val="22"/>
              </w:rPr>
            </w:pPr>
          </w:p>
        </w:tc>
        <w:tc>
          <w:tcPr>
            <w:tcW w:w="644" w:type="pct"/>
          </w:tcPr>
          <w:p>
            <w:pPr>
              <w:spacing w:line="360" w:lineRule="exac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 w:type="pct"/>
          </w:tcPr>
          <w:p>
            <w:pPr>
              <w:spacing w:line="360" w:lineRule="exact"/>
              <w:rPr>
                <w:sz w:val="22"/>
              </w:rPr>
            </w:pPr>
          </w:p>
        </w:tc>
        <w:tc>
          <w:tcPr>
            <w:tcW w:w="602" w:type="pct"/>
          </w:tcPr>
          <w:p>
            <w:pPr>
              <w:spacing w:line="360" w:lineRule="exact"/>
              <w:rPr>
                <w:sz w:val="22"/>
              </w:rPr>
            </w:pPr>
          </w:p>
        </w:tc>
        <w:tc>
          <w:tcPr>
            <w:tcW w:w="502" w:type="pct"/>
          </w:tcPr>
          <w:p>
            <w:pPr>
              <w:spacing w:line="360" w:lineRule="exact"/>
              <w:rPr>
                <w:sz w:val="22"/>
              </w:rPr>
            </w:pPr>
          </w:p>
        </w:tc>
        <w:tc>
          <w:tcPr>
            <w:tcW w:w="548" w:type="pct"/>
          </w:tcPr>
          <w:p>
            <w:pPr>
              <w:spacing w:line="360" w:lineRule="exact"/>
              <w:rPr>
                <w:sz w:val="22"/>
              </w:rPr>
            </w:pPr>
          </w:p>
        </w:tc>
        <w:tc>
          <w:tcPr>
            <w:tcW w:w="490" w:type="pct"/>
          </w:tcPr>
          <w:p>
            <w:pPr>
              <w:spacing w:line="360" w:lineRule="exact"/>
              <w:rPr>
                <w:sz w:val="22"/>
              </w:rPr>
            </w:pPr>
          </w:p>
        </w:tc>
        <w:tc>
          <w:tcPr>
            <w:tcW w:w="382" w:type="pct"/>
          </w:tcPr>
          <w:p>
            <w:pPr>
              <w:spacing w:line="360" w:lineRule="exact"/>
              <w:rPr>
                <w:sz w:val="22"/>
              </w:rPr>
            </w:pPr>
          </w:p>
        </w:tc>
        <w:tc>
          <w:tcPr>
            <w:tcW w:w="318" w:type="pct"/>
          </w:tcPr>
          <w:p>
            <w:pPr>
              <w:spacing w:line="360" w:lineRule="exact"/>
              <w:rPr>
                <w:sz w:val="22"/>
              </w:rPr>
            </w:pPr>
          </w:p>
        </w:tc>
        <w:tc>
          <w:tcPr>
            <w:tcW w:w="333" w:type="pct"/>
          </w:tcPr>
          <w:p>
            <w:pPr>
              <w:spacing w:line="360" w:lineRule="exact"/>
              <w:rPr>
                <w:sz w:val="22"/>
              </w:rPr>
            </w:pPr>
          </w:p>
        </w:tc>
        <w:tc>
          <w:tcPr>
            <w:tcW w:w="417" w:type="pct"/>
          </w:tcPr>
          <w:p>
            <w:pPr>
              <w:spacing w:line="360" w:lineRule="exact"/>
              <w:rPr>
                <w:sz w:val="22"/>
              </w:rPr>
            </w:pPr>
          </w:p>
        </w:tc>
        <w:tc>
          <w:tcPr>
            <w:tcW w:w="466" w:type="pct"/>
          </w:tcPr>
          <w:p>
            <w:pPr>
              <w:spacing w:line="360" w:lineRule="exact"/>
              <w:rPr>
                <w:sz w:val="22"/>
              </w:rPr>
            </w:pPr>
          </w:p>
        </w:tc>
        <w:tc>
          <w:tcPr>
            <w:tcW w:w="644" w:type="pct"/>
          </w:tcPr>
          <w:p>
            <w:pPr>
              <w:spacing w:line="360" w:lineRule="exac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 w:type="pct"/>
          </w:tcPr>
          <w:p>
            <w:pPr>
              <w:spacing w:line="360" w:lineRule="exact"/>
              <w:rPr>
                <w:sz w:val="22"/>
              </w:rPr>
            </w:pPr>
          </w:p>
        </w:tc>
        <w:tc>
          <w:tcPr>
            <w:tcW w:w="602" w:type="pct"/>
          </w:tcPr>
          <w:p>
            <w:pPr>
              <w:spacing w:line="360" w:lineRule="exact"/>
              <w:rPr>
                <w:sz w:val="22"/>
              </w:rPr>
            </w:pPr>
          </w:p>
        </w:tc>
        <w:tc>
          <w:tcPr>
            <w:tcW w:w="502" w:type="pct"/>
          </w:tcPr>
          <w:p>
            <w:pPr>
              <w:spacing w:line="360" w:lineRule="exact"/>
              <w:rPr>
                <w:sz w:val="22"/>
              </w:rPr>
            </w:pPr>
          </w:p>
        </w:tc>
        <w:tc>
          <w:tcPr>
            <w:tcW w:w="548" w:type="pct"/>
          </w:tcPr>
          <w:p>
            <w:pPr>
              <w:spacing w:line="360" w:lineRule="exact"/>
              <w:rPr>
                <w:sz w:val="22"/>
              </w:rPr>
            </w:pPr>
          </w:p>
        </w:tc>
        <w:tc>
          <w:tcPr>
            <w:tcW w:w="490" w:type="pct"/>
          </w:tcPr>
          <w:p>
            <w:pPr>
              <w:spacing w:line="360" w:lineRule="exact"/>
              <w:rPr>
                <w:sz w:val="22"/>
              </w:rPr>
            </w:pPr>
          </w:p>
        </w:tc>
        <w:tc>
          <w:tcPr>
            <w:tcW w:w="382" w:type="pct"/>
          </w:tcPr>
          <w:p>
            <w:pPr>
              <w:spacing w:line="360" w:lineRule="exact"/>
              <w:rPr>
                <w:sz w:val="22"/>
              </w:rPr>
            </w:pPr>
          </w:p>
        </w:tc>
        <w:tc>
          <w:tcPr>
            <w:tcW w:w="318" w:type="pct"/>
          </w:tcPr>
          <w:p>
            <w:pPr>
              <w:spacing w:line="360" w:lineRule="exact"/>
              <w:rPr>
                <w:sz w:val="22"/>
              </w:rPr>
            </w:pPr>
          </w:p>
        </w:tc>
        <w:tc>
          <w:tcPr>
            <w:tcW w:w="333" w:type="pct"/>
          </w:tcPr>
          <w:p>
            <w:pPr>
              <w:spacing w:line="360" w:lineRule="exact"/>
              <w:rPr>
                <w:sz w:val="22"/>
              </w:rPr>
            </w:pPr>
          </w:p>
        </w:tc>
        <w:tc>
          <w:tcPr>
            <w:tcW w:w="417" w:type="pct"/>
          </w:tcPr>
          <w:p>
            <w:pPr>
              <w:spacing w:line="360" w:lineRule="exact"/>
              <w:rPr>
                <w:sz w:val="22"/>
              </w:rPr>
            </w:pPr>
          </w:p>
        </w:tc>
        <w:tc>
          <w:tcPr>
            <w:tcW w:w="466" w:type="pct"/>
          </w:tcPr>
          <w:p>
            <w:pPr>
              <w:spacing w:line="360" w:lineRule="exact"/>
              <w:rPr>
                <w:sz w:val="22"/>
              </w:rPr>
            </w:pPr>
          </w:p>
        </w:tc>
        <w:tc>
          <w:tcPr>
            <w:tcW w:w="644" w:type="pct"/>
          </w:tcPr>
          <w:p>
            <w:pPr>
              <w:spacing w:line="360" w:lineRule="exac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6" w:type="pct"/>
            <w:gridSpan w:val="10"/>
          </w:tcPr>
          <w:p>
            <w:pPr>
              <w:spacing w:line="360" w:lineRule="exact"/>
              <w:rPr>
                <w:sz w:val="22"/>
              </w:rPr>
            </w:pPr>
            <w:r>
              <w:rPr>
                <w:sz w:val="22"/>
              </w:rPr>
              <w:t>合计（即：投标总价；币种：人民币；单位：元）：大写：</w:t>
            </w:r>
          </w:p>
        </w:tc>
        <w:tc>
          <w:tcPr>
            <w:tcW w:w="644" w:type="pct"/>
          </w:tcPr>
          <w:p>
            <w:pPr>
              <w:spacing w:line="360" w:lineRule="exact"/>
              <w:rPr>
                <w:sz w:val="22"/>
              </w:rPr>
            </w:pPr>
          </w:p>
        </w:tc>
      </w:tr>
    </w:tbl>
    <w:p>
      <w:pPr>
        <w:spacing w:line="360" w:lineRule="exact"/>
        <w:rPr>
          <w:sz w:val="22"/>
        </w:rPr>
      </w:pPr>
      <w:r>
        <w:rPr>
          <w:sz w:val="22"/>
        </w:rPr>
        <w:t>注：</w:t>
      </w:r>
    </w:p>
    <w:p>
      <w:pPr>
        <w:spacing w:line="360" w:lineRule="exact"/>
        <w:rPr>
          <w:sz w:val="22"/>
        </w:rPr>
      </w:pPr>
      <w:r>
        <w:rPr>
          <w:sz w:val="22"/>
        </w:rPr>
        <w:t>1、所有价格应按“</w:t>
      </w:r>
      <w:r>
        <w:rPr>
          <w:rFonts w:hint="eastAsia"/>
          <w:sz w:val="22"/>
        </w:rPr>
        <w:t>招标</w:t>
      </w:r>
      <w:r>
        <w:rPr>
          <w:sz w:val="22"/>
        </w:rPr>
        <w:t>文件”中规定的货币单位填写；</w:t>
      </w:r>
    </w:p>
    <w:p>
      <w:pPr>
        <w:spacing w:line="360" w:lineRule="exact"/>
        <w:rPr>
          <w:sz w:val="22"/>
        </w:rPr>
      </w:pPr>
      <w:r>
        <w:rPr>
          <w:sz w:val="22"/>
        </w:rPr>
        <w:t>2、投标总价应为以上各分项价格之和；</w:t>
      </w:r>
    </w:p>
    <w:p>
      <w:pPr>
        <w:spacing w:line="360" w:lineRule="exact"/>
        <w:rPr>
          <w:sz w:val="22"/>
        </w:rPr>
      </w:pPr>
      <w:r>
        <w:rPr>
          <w:sz w:val="22"/>
        </w:rPr>
        <w:t>3、本表格式不得修改；</w:t>
      </w:r>
    </w:p>
    <w:p>
      <w:pPr>
        <w:spacing w:line="360" w:lineRule="exact"/>
        <w:rPr>
          <w:sz w:val="22"/>
        </w:rPr>
      </w:pPr>
      <w:r>
        <w:rPr>
          <w:sz w:val="22"/>
        </w:rPr>
        <w:t>4、单价、合价和投标总价为包干价，即三者均应包含设备的价款、包装、运输、装卸、安装、调试、技术指导、培训、咨询、服务、保险、税费、检测、验收合格交付使用之前以及技术和售后服务等其他各项有关费用。</w:t>
      </w:r>
    </w:p>
    <w:p>
      <w:pPr>
        <w:spacing w:line="360" w:lineRule="exact"/>
        <w:rPr>
          <w:sz w:val="22"/>
        </w:rPr>
      </w:pPr>
      <w:r>
        <w:rPr>
          <w:sz w:val="22"/>
        </w:rPr>
        <w:t>5、投标总价和</w:t>
      </w:r>
      <w:r>
        <w:rPr>
          <w:rFonts w:hint="eastAsia"/>
          <w:sz w:val="22"/>
        </w:rPr>
        <w:t>分项报价表</w:t>
      </w:r>
      <w:r>
        <w:rPr>
          <w:sz w:val="22"/>
        </w:rPr>
        <w:t>中单个采购预算条目报价均不得超过对应的财政预算限额，否则将导致废标。</w:t>
      </w:r>
    </w:p>
    <w:p>
      <w:pPr>
        <w:spacing w:line="360" w:lineRule="exact"/>
        <w:rPr>
          <w:sz w:val="22"/>
        </w:rPr>
      </w:pPr>
      <w:r>
        <w:rPr>
          <w:sz w:val="22"/>
        </w:rPr>
        <w:t>6、开标一览表的投标总价必须与</w:t>
      </w:r>
      <w:r>
        <w:rPr>
          <w:rFonts w:hint="eastAsia"/>
          <w:sz w:val="22"/>
        </w:rPr>
        <w:t>分项报价表</w:t>
      </w:r>
      <w:r>
        <w:rPr>
          <w:sz w:val="22"/>
        </w:rPr>
        <w:t>的投标总价一致。</w:t>
      </w:r>
    </w:p>
    <w:p>
      <w:pPr>
        <w:spacing w:line="360" w:lineRule="exact"/>
        <w:rPr>
          <w:sz w:val="22"/>
        </w:rPr>
      </w:pPr>
      <w:r>
        <w:rPr>
          <w:sz w:val="22"/>
        </w:rPr>
        <w:t>7、“原产地”是指该产品的实际生产加工地，而非品牌总公司所在地。</w:t>
      </w:r>
    </w:p>
    <w:p>
      <w:pPr>
        <w:spacing w:line="360" w:lineRule="exact"/>
        <w:jc w:val="center"/>
        <w:rPr>
          <w:b/>
          <w:sz w:val="22"/>
        </w:rPr>
      </w:pPr>
    </w:p>
    <w:p>
      <w:pPr>
        <w:spacing w:line="360" w:lineRule="exact"/>
        <w:jc w:val="center"/>
        <w:rPr>
          <w:b/>
          <w:color w:val="FF0000"/>
          <w:sz w:val="24"/>
          <w:szCs w:val="24"/>
        </w:rPr>
      </w:pPr>
      <w:r>
        <w:rPr>
          <w:rFonts w:hint="eastAsia"/>
          <w:b/>
          <w:color w:val="FF0000"/>
          <w:sz w:val="24"/>
          <w:szCs w:val="24"/>
        </w:rPr>
        <w:t>（三）零配件、消耗品和延续保修合同报价清单（不包括在投标总价内，若有）</w:t>
      </w:r>
    </w:p>
    <w:p>
      <w:pPr>
        <w:spacing w:line="360" w:lineRule="exact"/>
        <w:rPr>
          <w:sz w:val="22"/>
        </w:rPr>
      </w:pPr>
      <w:r>
        <w:rPr>
          <w:rFonts w:hint="eastAsia"/>
          <w:sz w:val="22"/>
        </w:rPr>
        <w:t>注：价格最高的前</w:t>
      </w:r>
      <w:r>
        <w:rPr>
          <w:sz w:val="22"/>
        </w:rPr>
        <w:t>5</w:t>
      </w:r>
      <w:r>
        <w:rPr>
          <w:rFonts w:hint="eastAsia"/>
          <w:sz w:val="22"/>
        </w:rPr>
        <w:t>项零配件、消耗品和延续保修合同的报价明细必须填写于此清单中。</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074"/>
        <w:gridCol w:w="1694"/>
        <w:gridCol w:w="900"/>
        <w:gridCol w:w="1027"/>
        <w:gridCol w:w="720"/>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pPr>
              <w:spacing w:line="360" w:lineRule="exact"/>
              <w:ind w:right="-69" w:rightChars="-33"/>
              <w:jc w:val="center"/>
              <w:rPr>
                <w:sz w:val="22"/>
              </w:rPr>
            </w:pPr>
            <w:r>
              <w:rPr>
                <w:rFonts w:hint="eastAsia"/>
                <w:sz w:val="22"/>
              </w:rPr>
              <w:t>序号</w:t>
            </w:r>
          </w:p>
        </w:tc>
        <w:tc>
          <w:tcPr>
            <w:tcW w:w="207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2"/>
              </w:rPr>
            </w:pPr>
            <w:r>
              <w:rPr>
                <w:rFonts w:hint="eastAsia"/>
                <w:sz w:val="22"/>
              </w:rPr>
              <w:t>货物名称</w:t>
            </w:r>
          </w:p>
        </w:tc>
        <w:tc>
          <w:tcPr>
            <w:tcW w:w="1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2"/>
              </w:rPr>
            </w:pPr>
            <w:r>
              <w:rPr>
                <w:rFonts w:hint="eastAsia"/>
                <w:sz w:val="22"/>
              </w:rPr>
              <w:t>规格及型号</w:t>
            </w: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2"/>
              </w:rPr>
            </w:pPr>
            <w:r>
              <w:rPr>
                <w:rFonts w:hint="eastAsia"/>
                <w:sz w:val="22"/>
              </w:rPr>
              <w:t>原产地</w:t>
            </w:r>
          </w:p>
        </w:tc>
        <w:tc>
          <w:tcPr>
            <w:tcW w:w="10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2"/>
              </w:rPr>
            </w:pPr>
            <w:r>
              <w:rPr>
                <w:rFonts w:hint="eastAsia"/>
                <w:sz w:val="22"/>
              </w:rPr>
              <w:t>品牌</w:t>
            </w: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2"/>
              </w:rPr>
            </w:pPr>
            <w:r>
              <w:rPr>
                <w:rFonts w:hint="eastAsia"/>
                <w:sz w:val="22"/>
              </w:rPr>
              <w:t>数量</w:t>
            </w:r>
          </w:p>
        </w:tc>
        <w:tc>
          <w:tcPr>
            <w:tcW w:w="97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2"/>
              </w:rPr>
            </w:pPr>
            <w:r>
              <w:rPr>
                <w:rFonts w:hint="eastAsia"/>
                <w:sz w:val="22"/>
              </w:rPr>
              <w:t>单价</w:t>
            </w:r>
            <w:r>
              <w:rPr>
                <w:sz w:val="22"/>
              </w:rPr>
              <w:t>(</w:t>
            </w:r>
            <w:r>
              <w:rPr>
                <w:rFonts w:hint="eastAsia"/>
                <w:sz w:val="22"/>
              </w:rPr>
              <w:t>元</w:t>
            </w:r>
            <w:r>
              <w:rPr>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pPr>
              <w:spacing w:line="360" w:lineRule="exact"/>
              <w:ind w:right="-69" w:rightChars="-33"/>
              <w:jc w:val="center"/>
              <w:rPr>
                <w:sz w:val="22"/>
              </w:rPr>
            </w:pPr>
            <w:r>
              <w:rPr>
                <w:sz w:val="22"/>
              </w:rPr>
              <w:t>1</w:t>
            </w:r>
          </w:p>
        </w:tc>
        <w:tc>
          <w:tcPr>
            <w:tcW w:w="2074" w:type="dxa"/>
            <w:tcBorders>
              <w:top w:val="single" w:color="auto" w:sz="4" w:space="0"/>
              <w:left w:val="single" w:color="auto" w:sz="4" w:space="0"/>
              <w:bottom w:val="single" w:color="auto" w:sz="4" w:space="0"/>
              <w:right w:val="single" w:color="auto" w:sz="4" w:space="0"/>
            </w:tcBorders>
          </w:tcPr>
          <w:p>
            <w:pPr>
              <w:spacing w:line="360" w:lineRule="exact"/>
              <w:rPr>
                <w:sz w:val="22"/>
              </w:rPr>
            </w:pPr>
          </w:p>
        </w:tc>
        <w:tc>
          <w:tcPr>
            <w:tcW w:w="1694" w:type="dxa"/>
            <w:tcBorders>
              <w:top w:val="single" w:color="auto" w:sz="4" w:space="0"/>
              <w:left w:val="single" w:color="auto" w:sz="4" w:space="0"/>
              <w:bottom w:val="single" w:color="auto" w:sz="4" w:space="0"/>
              <w:right w:val="single" w:color="auto" w:sz="4" w:space="0"/>
            </w:tcBorders>
          </w:tcPr>
          <w:p>
            <w:pPr>
              <w:spacing w:line="360" w:lineRule="exact"/>
              <w:rPr>
                <w:sz w:val="22"/>
              </w:rPr>
            </w:pPr>
          </w:p>
        </w:tc>
        <w:tc>
          <w:tcPr>
            <w:tcW w:w="900" w:type="dxa"/>
            <w:tcBorders>
              <w:top w:val="single" w:color="auto" w:sz="4" w:space="0"/>
              <w:left w:val="single" w:color="auto" w:sz="4" w:space="0"/>
              <w:bottom w:val="single" w:color="auto" w:sz="4" w:space="0"/>
              <w:right w:val="single" w:color="auto" w:sz="4" w:space="0"/>
            </w:tcBorders>
          </w:tcPr>
          <w:p>
            <w:pPr>
              <w:spacing w:line="360" w:lineRule="exact"/>
              <w:rPr>
                <w:sz w:val="22"/>
              </w:rPr>
            </w:pPr>
          </w:p>
        </w:tc>
        <w:tc>
          <w:tcPr>
            <w:tcW w:w="1027" w:type="dxa"/>
            <w:tcBorders>
              <w:top w:val="single" w:color="auto" w:sz="4" w:space="0"/>
              <w:left w:val="single" w:color="auto" w:sz="4" w:space="0"/>
              <w:bottom w:val="single" w:color="auto" w:sz="4" w:space="0"/>
              <w:right w:val="single" w:color="auto" w:sz="4" w:space="0"/>
            </w:tcBorders>
          </w:tcPr>
          <w:p>
            <w:pPr>
              <w:spacing w:line="360" w:lineRule="exact"/>
              <w:rPr>
                <w:sz w:val="22"/>
              </w:rPr>
            </w:pPr>
          </w:p>
        </w:tc>
        <w:tc>
          <w:tcPr>
            <w:tcW w:w="720" w:type="dxa"/>
            <w:tcBorders>
              <w:top w:val="single" w:color="auto" w:sz="4" w:space="0"/>
              <w:left w:val="single" w:color="auto" w:sz="4" w:space="0"/>
              <w:bottom w:val="single" w:color="auto" w:sz="4" w:space="0"/>
              <w:right w:val="single" w:color="auto" w:sz="4" w:space="0"/>
            </w:tcBorders>
          </w:tcPr>
          <w:p>
            <w:pPr>
              <w:spacing w:line="360" w:lineRule="exact"/>
              <w:rPr>
                <w:sz w:val="22"/>
              </w:rPr>
            </w:pPr>
          </w:p>
        </w:tc>
        <w:tc>
          <w:tcPr>
            <w:tcW w:w="977" w:type="dxa"/>
            <w:tcBorders>
              <w:top w:val="single" w:color="auto" w:sz="4" w:space="0"/>
              <w:left w:val="single" w:color="auto" w:sz="4" w:space="0"/>
              <w:bottom w:val="single" w:color="auto" w:sz="4" w:space="0"/>
              <w:right w:val="single" w:color="auto" w:sz="4" w:space="0"/>
            </w:tcBorders>
          </w:tcPr>
          <w:p>
            <w:pPr>
              <w:spacing w:line="360" w:lineRule="exac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pPr>
              <w:spacing w:line="360" w:lineRule="exact"/>
              <w:ind w:right="-69" w:rightChars="-33"/>
              <w:jc w:val="center"/>
              <w:rPr>
                <w:sz w:val="22"/>
              </w:rPr>
            </w:pPr>
            <w:r>
              <w:rPr>
                <w:sz w:val="22"/>
              </w:rPr>
              <w:t>2</w:t>
            </w:r>
          </w:p>
        </w:tc>
        <w:tc>
          <w:tcPr>
            <w:tcW w:w="2074" w:type="dxa"/>
            <w:tcBorders>
              <w:top w:val="single" w:color="auto" w:sz="4" w:space="0"/>
              <w:left w:val="single" w:color="auto" w:sz="4" w:space="0"/>
              <w:bottom w:val="single" w:color="auto" w:sz="4" w:space="0"/>
              <w:right w:val="single" w:color="auto" w:sz="4" w:space="0"/>
            </w:tcBorders>
          </w:tcPr>
          <w:p>
            <w:pPr>
              <w:spacing w:line="360" w:lineRule="exact"/>
              <w:rPr>
                <w:sz w:val="22"/>
              </w:rPr>
            </w:pPr>
          </w:p>
        </w:tc>
        <w:tc>
          <w:tcPr>
            <w:tcW w:w="1694" w:type="dxa"/>
            <w:tcBorders>
              <w:top w:val="single" w:color="auto" w:sz="4" w:space="0"/>
              <w:left w:val="single" w:color="auto" w:sz="4" w:space="0"/>
              <w:bottom w:val="single" w:color="auto" w:sz="4" w:space="0"/>
              <w:right w:val="single" w:color="auto" w:sz="4" w:space="0"/>
            </w:tcBorders>
          </w:tcPr>
          <w:p>
            <w:pPr>
              <w:spacing w:line="360" w:lineRule="exact"/>
              <w:rPr>
                <w:sz w:val="22"/>
              </w:rPr>
            </w:pPr>
          </w:p>
        </w:tc>
        <w:tc>
          <w:tcPr>
            <w:tcW w:w="900" w:type="dxa"/>
            <w:tcBorders>
              <w:top w:val="single" w:color="auto" w:sz="4" w:space="0"/>
              <w:left w:val="single" w:color="auto" w:sz="4" w:space="0"/>
              <w:bottom w:val="single" w:color="auto" w:sz="4" w:space="0"/>
              <w:right w:val="single" w:color="auto" w:sz="4" w:space="0"/>
            </w:tcBorders>
          </w:tcPr>
          <w:p>
            <w:pPr>
              <w:spacing w:line="360" w:lineRule="exact"/>
              <w:rPr>
                <w:sz w:val="22"/>
              </w:rPr>
            </w:pPr>
          </w:p>
        </w:tc>
        <w:tc>
          <w:tcPr>
            <w:tcW w:w="1027" w:type="dxa"/>
            <w:tcBorders>
              <w:top w:val="single" w:color="auto" w:sz="4" w:space="0"/>
              <w:left w:val="single" w:color="auto" w:sz="4" w:space="0"/>
              <w:bottom w:val="single" w:color="auto" w:sz="4" w:space="0"/>
              <w:right w:val="single" w:color="auto" w:sz="4" w:space="0"/>
            </w:tcBorders>
          </w:tcPr>
          <w:p>
            <w:pPr>
              <w:spacing w:line="360" w:lineRule="exact"/>
              <w:rPr>
                <w:sz w:val="22"/>
              </w:rPr>
            </w:pPr>
          </w:p>
        </w:tc>
        <w:tc>
          <w:tcPr>
            <w:tcW w:w="720" w:type="dxa"/>
            <w:tcBorders>
              <w:top w:val="single" w:color="auto" w:sz="4" w:space="0"/>
              <w:left w:val="single" w:color="auto" w:sz="4" w:space="0"/>
              <w:bottom w:val="single" w:color="auto" w:sz="4" w:space="0"/>
              <w:right w:val="single" w:color="auto" w:sz="4" w:space="0"/>
            </w:tcBorders>
          </w:tcPr>
          <w:p>
            <w:pPr>
              <w:spacing w:line="360" w:lineRule="exact"/>
              <w:rPr>
                <w:sz w:val="22"/>
              </w:rPr>
            </w:pPr>
          </w:p>
        </w:tc>
        <w:tc>
          <w:tcPr>
            <w:tcW w:w="977" w:type="dxa"/>
            <w:tcBorders>
              <w:top w:val="single" w:color="auto" w:sz="4" w:space="0"/>
              <w:left w:val="single" w:color="auto" w:sz="4" w:space="0"/>
              <w:bottom w:val="single" w:color="auto" w:sz="4" w:space="0"/>
              <w:right w:val="single" w:color="auto" w:sz="4" w:space="0"/>
            </w:tcBorders>
          </w:tcPr>
          <w:p>
            <w:pPr>
              <w:spacing w:line="360" w:lineRule="exac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pPr>
              <w:spacing w:line="360" w:lineRule="exact"/>
              <w:ind w:right="-69" w:rightChars="-33"/>
              <w:jc w:val="center"/>
              <w:rPr>
                <w:sz w:val="22"/>
              </w:rPr>
            </w:pPr>
          </w:p>
        </w:tc>
        <w:tc>
          <w:tcPr>
            <w:tcW w:w="2074" w:type="dxa"/>
            <w:tcBorders>
              <w:top w:val="single" w:color="auto" w:sz="4" w:space="0"/>
              <w:left w:val="single" w:color="auto" w:sz="4" w:space="0"/>
              <w:bottom w:val="single" w:color="auto" w:sz="4" w:space="0"/>
              <w:right w:val="single" w:color="auto" w:sz="4" w:space="0"/>
            </w:tcBorders>
          </w:tcPr>
          <w:p>
            <w:pPr>
              <w:spacing w:line="360" w:lineRule="exact"/>
              <w:rPr>
                <w:sz w:val="22"/>
              </w:rPr>
            </w:pPr>
          </w:p>
        </w:tc>
        <w:tc>
          <w:tcPr>
            <w:tcW w:w="1694" w:type="dxa"/>
            <w:tcBorders>
              <w:top w:val="single" w:color="auto" w:sz="4" w:space="0"/>
              <w:left w:val="single" w:color="auto" w:sz="4" w:space="0"/>
              <w:bottom w:val="single" w:color="auto" w:sz="4" w:space="0"/>
              <w:right w:val="single" w:color="auto" w:sz="4" w:space="0"/>
            </w:tcBorders>
          </w:tcPr>
          <w:p>
            <w:pPr>
              <w:spacing w:line="360" w:lineRule="exact"/>
              <w:rPr>
                <w:sz w:val="22"/>
              </w:rPr>
            </w:pPr>
          </w:p>
        </w:tc>
        <w:tc>
          <w:tcPr>
            <w:tcW w:w="900" w:type="dxa"/>
            <w:tcBorders>
              <w:top w:val="single" w:color="auto" w:sz="4" w:space="0"/>
              <w:left w:val="single" w:color="auto" w:sz="4" w:space="0"/>
              <w:bottom w:val="single" w:color="auto" w:sz="4" w:space="0"/>
              <w:right w:val="single" w:color="auto" w:sz="4" w:space="0"/>
            </w:tcBorders>
          </w:tcPr>
          <w:p>
            <w:pPr>
              <w:spacing w:line="360" w:lineRule="exact"/>
              <w:rPr>
                <w:sz w:val="22"/>
              </w:rPr>
            </w:pPr>
          </w:p>
        </w:tc>
        <w:tc>
          <w:tcPr>
            <w:tcW w:w="1027" w:type="dxa"/>
            <w:tcBorders>
              <w:top w:val="single" w:color="auto" w:sz="4" w:space="0"/>
              <w:left w:val="single" w:color="auto" w:sz="4" w:space="0"/>
              <w:bottom w:val="single" w:color="auto" w:sz="4" w:space="0"/>
              <w:right w:val="single" w:color="auto" w:sz="4" w:space="0"/>
            </w:tcBorders>
          </w:tcPr>
          <w:p>
            <w:pPr>
              <w:spacing w:line="360" w:lineRule="exact"/>
              <w:rPr>
                <w:sz w:val="22"/>
              </w:rPr>
            </w:pPr>
          </w:p>
        </w:tc>
        <w:tc>
          <w:tcPr>
            <w:tcW w:w="720" w:type="dxa"/>
            <w:tcBorders>
              <w:top w:val="single" w:color="auto" w:sz="4" w:space="0"/>
              <w:left w:val="single" w:color="auto" w:sz="4" w:space="0"/>
              <w:bottom w:val="single" w:color="auto" w:sz="4" w:space="0"/>
              <w:right w:val="single" w:color="auto" w:sz="4" w:space="0"/>
            </w:tcBorders>
          </w:tcPr>
          <w:p>
            <w:pPr>
              <w:spacing w:line="360" w:lineRule="exact"/>
              <w:rPr>
                <w:sz w:val="22"/>
              </w:rPr>
            </w:pPr>
          </w:p>
        </w:tc>
        <w:tc>
          <w:tcPr>
            <w:tcW w:w="977" w:type="dxa"/>
            <w:tcBorders>
              <w:top w:val="single" w:color="auto" w:sz="4" w:space="0"/>
              <w:left w:val="single" w:color="auto" w:sz="4" w:space="0"/>
              <w:bottom w:val="single" w:color="auto" w:sz="4" w:space="0"/>
              <w:right w:val="single" w:color="auto" w:sz="4" w:space="0"/>
            </w:tcBorders>
          </w:tcPr>
          <w:p>
            <w:pPr>
              <w:spacing w:line="360" w:lineRule="exac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pPr>
              <w:spacing w:line="360" w:lineRule="exact"/>
              <w:ind w:right="-69" w:rightChars="-33"/>
              <w:jc w:val="center"/>
              <w:rPr>
                <w:sz w:val="22"/>
              </w:rPr>
            </w:pPr>
          </w:p>
        </w:tc>
        <w:tc>
          <w:tcPr>
            <w:tcW w:w="2074" w:type="dxa"/>
            <w:tcBorders>
              <w:top w:val="single" w:color="auto" w:sz="4" w:space="0"/>
              <w:left w:val="single" w:color="auto" w:sz="4" w:space="0"/>
              <w:bottom w:val="single" w:color="auto" w:sz="4" w:space="0"/>
              <w:right w:val="single" w:color="auto" w:sz="4" w:space="0"/>
            </w:tcBorders>
          </w:tcPr>
          <w:p>
            <w:pPr>
              <w:spacing w:line="360" w:lineRule="exact"/>
              <w:rPr>
                <w:sz w:val="22"/>
              </w:rPr>
            </w:pPr>
          </w:p>
        </w:tc>
        <w:tc>
          <w:tcPr>
            <w:tcW w:w="1694" w:type="dxa"/>
            <w:tcBorders>
              <w:top w:val="single" w:color="auto" w:sz="4" w:space="0"/>
              <w:left w:val="single" w:color="auto" w:sz="4" w:space="0"/>
              <w:bottom w:val="single" w:color="auto" w:sz="4" w:space="0"/>
              <w:right w:val="single" w:color="auto" w:sz="4" w:space="0"/>
            </w:tcBorders>
          </w:tcPr>
          <w:p>
            <w:pPr>
              <w:spacing w:line="360" w:lineRule="exact"/>
              <w:rPr>
                <w:sz w:val="22"/>
              </w:rPr>
            </w:pPr>
          </w:p>
        </w:tc>
        <w:tc>
          <w:tcPr>
            <w:tcW w:w="900" w:type="dxa"/>
            <w:tcBorders>
              <w:top w:val="single" w:color="auto" w:sz="4" w:space="0"/>
              <w:left w:val="single" w:color="auto" w:sz="4" w:space="0"/>
              <w:bottom w:val="single" w:color="auto" w:sz="4" w:space="0"/>
              <w:right w:val="single" w:color="auto" w:sz="4" w:space="0"/>
            </w:tcBorders>
          </w:tcPr>
          <w:p>
            <w:pPr>
              <w:spacing w:line="360" w:lineRule="exact"/>
              <w:rPr>
                <w:sz w:val="22"/>
              </w:rPr>
            </w:pPr>
          </w:p>
        </w:tc>
        <w:tc>
          <w:tcPr>
            <w:tcW w:w="1027" w:type="dxa"/>
            <w:tcBorders>
              <w:top w:val="single" w:color="auto" w:sz="4" w:space="0"/>
              <w:left w:val="single" w:color="auto" w:sz="4" w:space="0"/>
              <w:bottom w:val="single" w:color="auto" w:sz="4" w:space="0"/>
              <w:right w:val="single" w:color="auto" w:sz="4" w:space="0"/>
            </w:tcBorders>
          </w:tcPr>
          <w:p>
            <w:pPr>
              <w:spacing w:line="360" w:lineRule="exact"/>
              <w:rPr>
                <w:sz w:val="22"/>
              </w:rPr>
            </w:pPr>
          </w:p>
        </w:tc>
        <w:tc>
          <w:tcPr>
            <w:tcW w:w="720" w:type="dxa"/>
            <w:tcBorders>
              <w:top w:val="single" w:color="auto" w:sz="4" w:space="0"/>
              <w:left w:val="single" w:color="auto" w:sz="4" w:space="0"/>
              <w:bottom w:val="single" w:color="auto" w:sz="4" w:space="0"/>
              <w:right w:val="single" w:color="auto" w:sz="4" w:space="0"/>
            </w:tcBorders>
          </w:tcPr>
          <w:p>
            <w:pPr>
              <w:spacing w:line="360" w:lineRule="exact"/>
              <w:rPr>
                <w:sz w:val="22"/>
              </w:rPr>
            </w:pPr>
          </w:p>
        </w:tc>
        <w:tc>
          <w:tcPr>
            <w:tcW w:w="977" w:type="dxa"/>
            <w:tcBorders>
              <w:top w:val="single" w:color="auto" w:sz="4" w:space="0"/>
              <w:left w:val="single" w:color="auto" w:sz="4" w:space="0"/>
              <w:bottom w:val="single" w:color="auto" w:sz="4" w:space="0"/>
              <w:right w:val="single" w:color="auto" w:sz="4" w:space="0"/>
            </w:tcBorders>
          </w:tcPr>
          <w:p>
            <w:pPr>
              <w:spacing w:line="360" w:lineRule="exac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pPr>
              <w:spacing w:line="360" w:lineRule="exact"/>
              <w:rPr>
                <w:sz w:val="22"/>
              </w:rPr>
            </w:pPr>
          </w:p>
        </w:tc>
        <w:tc>
          <w:tcPr>
            <w:tcW w:w="2074" w:type="dxa"/>
            <w:tcBorders>
              <w:top w:val="single" w:color="auto" w:sz="4" w:space="0"/>
              <w:left w:val="single" w:color="auto" w:sz="4" w:space="0"/>
              <w:bottom w:val="single" w:color="auto" w:sz="4" w:space="0"/>
              <w:right w:val="single" w:color="auto" w:sz="4" w:space="0"/>
            </w:tcBorders>
          </w:tcPr>
          <w:p>
            <w:pPr>
              <w:spacing w:line="360" w:lineRule="exact"/>
              <w:rPr>
                <w:sz w:val="22"/>
              </w:rPr>
            </w:pPr>
          </w:p>
        </w:tc>
        <w:tc>
          <w:tcPr>
            <w:tcW w:w="1694" w:type="dxa"/>
            <w:tcBorders>
              <w:top w:val="single" w:color="auto" w:sz="4" w:space="0"/>
              <w:left w:val="single" w:color="auto" w:sz="4" w:space="0"/>
              <w:bottom w:val="single" w:color="auto" w:sz="4" w:space="0"/>
              <w:right w:val="single" w:color="auto" w:sz="4" w:space="0"/>
            </w:tcBorders>
          </w:tcPr>
          <w:p>
            <w:pPr>
              <w:spacing w:line="360" w:lineRule="exact"/>
              <w:rPr>
                <w:sz w:val="22"/>
              </w:rPr>
            </w:pPr>
          </w:p>
        </w:tc>
        <w:tc>
          <w:tcPr>
            <w:tcW w:w="900" w:type="dxa"/>
            <w:tcBorders>
              <w:top w:val="single" w:color="auto" w:sz="4" w:space="0"/>
              <w:left w:val="single" w:color="auto" w:sz="4" w:space="0"/>
              <w:bottom w:val="single" w:color="auto" w:sz="4" w:space="0"/>
              <w:right w:val="single" w:color="auto" w:sz="4" w:space="0"/>
            </w:tcBorders>
          </w:tcPr>
          <w:p>
            <w:pPr>
              <w:spacing w:line="360" w:lineRule="exact"/>
              <w:rPr>
                <w:sz w:val="22"/>
              </w:rPr>
            </w:pPr>
          </w:p>
        </w:tc>
        <w:tc>
          <w:tcPr>
            <w:tcW w:w="1027" w:type="dxa"/>
            <w:tcBorders>
              <w:top w:val="single" w:color="auto" w:sz="4" w:space="0"/>
              <w:left w:val="single" w:color="auto" w:sz="4" w:space="0"/>
              <w:bottom w:val="single" w:color="auto" w:sz="4" w:space="0"/>
              <w:right w:val="single" w:color="auto" w:sz="4" w:space="0"/>
            </w:tcBorders>
          </w:tcPr>
          <w:p>
            <w:pPr>
              <w:spacing w:line="360" w:lineRule="exact"/>
              <w:rPr>
                <w:sz w:val="22"/>
              </w:rPr>
            </w:pPr>
          </w:p>
        </w:tc>
        <w:tc>
          <w:tcPr>
            <w:tcW w:w="720" w:type="dxa"/>
            <w:tcBorders>
              <w:top w:val="single" w:color="auto" w:sz="4" w:space="0"/>
              <w:left w:val="single" w:color="auto" w:sz="4" w:space="0"/>
              <w:bottom w:val="single" w:color="auto" w:sz="4" w:space="0"/>
              <w:right w:val="single" w:color="auto" w:sz="4" w:space="0"/>
            </w:tcBorders>
          </w:tcPr>
          <w:p>
            <w:pPr>
              <w:spacing w:line="360" w:lineRule="exact"/>
              <w:rPr>
                <w:sz w:val="22"/>
              </w:rPr>
            </w:pPr>
          </w:p>
        </w:tc>
        <w:tc>
          <w:tcPr>
            <w:tcW w:w="977" w:type="dxa"/>
            <w:tcBorders>
              <w:top w:val="single" w:color="auto" w:sz="4" w:space="0"/>
              <w:left w:val="single" w:color="auto" w:sz="4" w:space="0"/>
              <w:bottom w:val="single" w:color="auto" w:sz="4" w:space="0"/>
              <w:right w:val="single" w:color="auto" w:sz="4" w:space="0"/>
            </w:tcBorders>
          </w:tcPr>
          <w:p>
            <w:pPr>
              <w:spacing w:line="360" w:lineRule="exact"/>
              <w:rPr>
                <w:sz w:val="22"/>
              </w:rPr>
            </w:pPr>
          </w:p>
        </w:tc>
      </w:tr>
    </w:tbl>
    <w:p>
      <w:pPr>
        <w:spacing w:line="360" w:lineRule="exact"/>
        <w:ind w:firstLine="442" w:firstLineChars="200"/>
        <w:rPr>
          <w:b/>
          <w:bCs/>
          <w:sz w:val="22"/>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3064"/>
        <w:gridCol w:w="2604"/>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 w:type="dxa"/>
            <w:tcBorders>
              <w:top w:val="single" w:color="auto" w:sz="4" w:space="0"/>
              <w:left w:val="single" w:color="auto" w:sz="4" w:space="0"/>
              <w:bottom w:val="single" w:color="auto" w:sz="4" w:space="0"/>
              <w:right w:val="single" w:color="auto" w:sz="4" w:space="0"/>
            </w:tcBorders>
          </w:tcPr>
          <w:p>
            <w:pPr>
              <w:spacing w:line="360" w:lineRule="exact"/>
              <w:jc w:val="center"/>
              <w:rPr>
                <w:sz w:val="22"/>
              </w:rPr>
            </w:pPr>
            <w:r>
              <w:rPr>
                <w:rFonts w:hint="eastAsia"/>
                <w:sz w:val="22"/>
              </w:rPr>
              <w:t>序号</w:t>
            </w:r>
          </w:p>
        </w:tc>
        <w:tc>
          <w:tcPr>
            <w:tcW w:w="3064" w:type="dxa"/>
            <w:tcBorders>
              <w:top w:val="single" w:color="auto" w:sz="4" w:space="0"/>
              <w:left w:val="single" w:color="auto" w:sz="4" w:space="0"/>
              <w:bottom w:val="single" w:color="auto" w:sz="4" w:space="0"/>
              <w:right w:val="single" w:color="auto" w:sz="4" w:space="0"/>
            </w:tcBorders>
          </w:tcPr>
          <w:p>
            <w:pPr>
              <w:spacing w:line="360" w:lineRule="exact"/>
              <w:jc w:val="center"/>
              <w:rPr>
                <w:sz w:val="22"/>
              </w:rPr>
            </w:pPr>
            <w:r>
              <w:rPr>
                <w:rFonts w:hint="eastAsia"/>
                <w:sz w:val="22"/>
              </w:rPr>
              <w:t>服务名称</w:t>
            </w:r>
          </w:p>
        </w:tc>
        <w:tc>
          <w:tcPr>
            <w:tcW w:w="2604" w:type="dxa"/>
            <w:tcBorders>
              <w:top w:val="single" w:color="auto" w:sz="4" w:space="0"/>
              <w:left w:val="single" w:color="auto" w:sz="4" w:space="0"/>
              <w:bottom w:val="single" w:color="auto" w:sz="4" w:space="0"/>
              <w:right w:val="single" w:color="auto" w:sz="4" w:space="0"/>
            </w:tcBorders>
          </w:tcPr>
          <w:p>
            <w:pPr>
              <w:spacing w:line="360" w:lineRule="exact"/>
              <w:jc w:val="center"/>
              <w:rPr>
                <w:sz w:val="22"/>
              </w:rPr>
            </w:pPr>
            <w:r>
              <w:rPr>
                <w:rFonts w:hint="eastAsia"/>
                <w:sz w:val="22"/>
              </w:rPr>
              <w:t>服务内容</w:t>
            </w:r>
          </w:p>
        </w:tc>
        <w:tc>
          <w:tcPr>
            <w:tcW w:w="1705" w:type="dxa"/>
            <w:tcBorders>
              <w:top w:val="single" w:color="auto" w:sz="4" w:space="0"/>
              <w:left w:val="single" w:color="auto" w:sz="4" w:space="0"/>
              <w:bottom w:val="single" w:color="auto" w:sz="4" w:space="0"/>
              <w:right w:val="single" w:color="auto" w:sz="4" w:space="0"/>
            </w:tcBorders>
          </w:tcPr>
          <w:p>
            <w:pPr>
              <w:spacing w:line="360" w:lineRule="exact"/>
              <w:jc w:val="center"/>
              <w:rPr>
                <w:sz w:val="22"/>
              </w:rPr>
            </w:pPr>
            <w:r>
              <w:rPr>
                <w:rFonts w:hint="eastAsia"/>
                <w:sz w:val="22"/>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pPr>
              <w:spacing w:line="360" w:lineRule="exact"/>
              <w:ind w:right="-69" w:rightChars="-33"/>
              <w:jc w:val="center"/>
              <w:rPr>
                <w:sz w:val="22"/>
              </w:rPr>
            </w:pPr>
            <w:r>
              <w:rPr>
                <w:sz w:val="22"/>
              </w:rPr>
              <w:t>1</w:t>
            </w:r>
          </w:p>
        </w:tc>
        <w:tc>
          <w:tcPr>
            <w:tcW w:w="3064" w:type="dxa"/>
            <w:tcBorders>
              <w:top w:val="single" w:color="auto" w:sz="4" w:space="0"/>
              <w:left w:val="single" w:color="auto" w:sz="4" w:space="0"/>
              <w:bottom w:val="single" w:color="auto" w:sz="4" w:space="0"/>
              <w:right w:val="single" w:color="auto" w:sz="4" w:space="0"/>
            </w:tcBorders>
          </w:tcPr>
          <w:p>
            <w:pPr>
              <w:spacing w:line="360" w:lineRule="exact"/>
              <w:jc w:val="center"/>
              <w:rPr>
                <w:sz w:val="22"/>
              </w:rPr>
            </w:pPr>
            <w:r>
              <w:rPr>
                <w:rFonts w:hint="eastAsia"/>
                <w:sz w:val="22"/>
              </w:rPr>
              <w:t>延续保修合同</w:t>
            </w:r>
          </w:p>
        </w:tc>
        <w:tc>
          <w:tcPr>
            <w:tcW w:w="2604" w:type="dxa"/>
            <w:tcBorders>
              <w:top w:val="single" w:color="auto" w:sz="4" w:space="0"/>
              <w:left w:val="single" w:color="auto" w:sz="4" w:space="0"/>
              <w:bottom w:val="single" w:color="auto" w:sz="4" w:space="0"/>
              <w:right w:val="single" w:color="auto" w:sz="4" w:space="0"/>
            </w:tcBorders>
          </w:tcPr>
          <w:p>
            <w:pPr>
              <w:spacing w:line="360" w:lineRule="exact"/>
              <w:jc w:val="center"/>
              <w:rPr>
                <w:b/>
                <w:bCs/>
                <w:sz w:val="22"/>
              </w:rPr>
            </w:pPr>
          </w:p>
        </w:tc>
        <w:tc>
          <w:tcPr>
            <w:tcW w:w="1705" w:type="dxa"/>
            <w:tcBorders>
              <w:top w:val="single" w:color="auto" w:sz="4" w:space="0"/>
              <w:left w:val="single" w:color="auto" w:sz="4" w:space="0"/>
              <w:bottom w:val="single" w:color="auto" w:sz="4" w:space="0"/>
              <w:right w:val="single" w:color="auto" w:sz="4" w:space="0"/>
            </w:tcBorders>
          </w:tcPr>
          <w:p>
            <w:pPr>
              <w:spacing w:line="360" w:lineRule="exact"/>
              <w:jc w:val="center"/>
              <w:rPr>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pPr>
              <w:spacing w:line="360" w:lineRule="exact"/>
              <w:ind w:right="-69" w:rightChars="-33"/>
              <w:jc w:val="center"/>
              <w:rPr>
                <w:sz w:val="22"/>
              </w:rPr>
            </w:pPr>
          </w:p>
        </w:tc>
        <w:tc>
          <w:tcPr>
            <w:tcW w:w="3064" w:type="dxa"/>
            <w:tcBorders>
              <w:top w:val="single" w:color="auto" w:sz="4" w:space="0"/>
              <w:left w:val="single" w:color="auto" w:sz="4" w:space="0"/>
              <w:bottom w:val="single" w:color="auto" w:sz="4" w:space="0"/>
              <w:right w:val="single" w:color="auto" w:sz="4" w:space="0"/>
            </w:tcBorders>
          </w:tcPr>
          <w:p>
            <w:pPr>
              <w:spacing w:line="360" w:lineRule="exact"/>
              <w:jc w:val="center"/>
              <w:rPr>
                <w:sz w:val="22"/>
              </w:rPr>
            </w:pPr>
          </w:p>
        </w:tc>
        <w:tc>
          <w:tcPr>
            <w:tcW w:w="2604" w:type="dxa"/>
            <w:tcBorders>
              <w:top w:val="single" w:color="auto" w:sz="4" w:space="0"/>
              <w:left w:val="single" w:color="auto" w:sz="4" w:space="0"/>
              <w:bottom w:val="single" w:color="auto" w:sz="4" w:space="0"/>
              <w:right w:val="single" w:color="auto" w:sz="4" w:space="0"/>
            </w:tcBorders>
          </w:tcPr>
          <w:p>
            <w:pPr>
              <w:spacing w:line="360" w:lineRule="exact"/>
              <w:jc w:val="center"/>
              <w:rPr>
                <w:b/>
                <w:bCs/>
                <w:sz w:val="22"/>
              </w:rPr>
            </w:pPr>
          </w:p>
        </w:tc>
        <w:tc>
          <w:tcPr>
            <w:tcW w:w="1705" w:type="dxa"/>
            <w:tcBorders>
              <w:top w:val="single" w:color="auto" w:sz="4" w:space="0"/>
              <w:left w:val="single" w:color="auto" w:sz="4" w:space="0"/>
              <w:bottom w:val="single" w:color="auto" w:sz="4" w:space="0"/>
              <w:right w:val="single" w:color="auto" w:sz="4" w:space="0"/>
            </w:tcBorders>
          </w:tcPr>
          <w:p>
            <w:pPr>
              <w:spacing w:line="360" w:lineRule="exact"/>
              <w:jc w:val="center"/>
              <w:rPr>
                <w:b/>
                <w:bCs/>
                <w:sz w:val="22"/>
              </w:rPr>
            </w:pPr>
          </w:p>
        </w:tc>
      </w:tr>
    </w:tbl>
    <w:p>
      <w:pPr>
        <w:spacing w:line="360" w:lineRule="exact"/>
        <w:ind w:right="2100" w:rightChars="1000"/>
        <w:jc w:val="left"/>
        <w:rPr>
          <w:rFonts w:ascii="宋体" w:hAnsi="宋体" w:cs="宋体"/>
          <w:snapToGrid w:val="0"/>
          <w:kern w:val="0"/>
          <w:sz w:val="22"/>
          <w:szCs w:val="24"/>
        </w:rPr>
      </w:pPr>
      <w:r>
        <w:rPr>
          <w:rFonts w:hint="eastAsia" w:ascii="宋体" w:hAnsi="宋体" w:cs="宋体"/>
          <w:snapToGrid w:val="0"/>
          <w:kern w:val="0"/>
          <w:sz w:val="22"/>
          <w:szCs w:val="24"/>
          <w:lang w:val="zh-CN"/>
        </w:rPr>
        <w:t>法定代表人（</w:t>
      </w:r>
      <w:r>
        <w:rPr>
          <w:rFonts w:hint="eastAsia" w:ascii="宋体" w:hAnsi="宋体" w:cs="宋体"/>
          <w:snapToGrid w:val="0"/>
          <w:kern w:val="0"/>
          <w:sz w:val="22"/>
          <w:szCs w:val="24"/>
        </w:rPr>
        <w:t>单位负责人</w:t>
      </w:r>
      <w:r>
        <w:rPr>
          <w:rFonts w:hint="eastAsia" w:ascii="宋体" w:hAnsi="宋体" w:cs="宋体"/>
          <w:snapToGrid w:val="0"/>
          <w:kern w:val="0"/>
          <w:sz w:val="22"/>
          <w:szCs w:val="24"/>
          <w:lang w:val="zh-CN"/>
        </w:rPr>
        <w:t>）或其授权代表（签字</w:t>
      </w:r>
      <w:r>
        <w:rPr>
          <w:rFonts w:hint="eastAsia" w:ascii="宋体" w:hAnsi="宋体" w:cs="宋体"/>
          <w:snapToGrid w:val="0"/>
          <w:kern w:val="0"/>
          <w:sz w:val="22"/>
          <w:szCs w:val="24"/>
        </w:rPr>
        <w:t>或盖章</w:t>
      </w:r>
      <w:r>
        <w:rPr>
          <w:rFonts w:hint="eastAsia" w:ascii="宋体" w:hAnsi="宋体" w:cs="宋体"/>
          <w:snapToGrid w:val="0"/>
          <w:kern w:val="0"/>
          <w:sz w:val="22"/>
          <w:szCs w:val="24"/>
          <w:lang w:val="zh-CN"/>
        </w:rPr>
        <w:t>）</w:t>
      </w:r>
      <w:r>
        <w:rPr>
          <w:rFonts w:hint="eastAsia" w:ascii="宋体" w:hAnsi="宋体" w:cs="宋体"/>
          <w:snapToGrid w:val="0"/>
          <w:kern w:val="0"/>
          <w:sz w:val="22"/>
          <w:szCs w:val="24"/>
        </w:rPr>
        <w:t xml:space="preserve">：                   </w:t>
      </w:r>
    </w:p>
    <w:p>
      <w:pPr>
        <w:spacing w:line="360" w:lineRule="exact"/>
        <w:ind w:right="2100" w:rightChars="1000"/>
        <w:jc w:val="left"/>
        <w:rPr>
          <w:rFonts w:ascii="宋体" w:hAnsi="宋体" w:cs="宋体"/>
          <w:snapToGrid w:val="0"/>
          <w:kern w:val="0"/>
          <w:sz w:val="22"/>
          <w:szCs w:val="24"/>
        </w:rPr>
      </w:pPr>
      <w:r>
        <w:rPr>
          <w:rFonts w:hint="eastAsia" w:ascii="宋体" w:hAnsi="宋体" w:cs="宋体"/>
          <w:snapToGrid w:val="0"/>
          <w:kern w:val="0"/>
          <w:sz w:val="22"/>
          <w:szCs w:val="24"/>
        </w:rPr>
        <w:t xml:space="preserve">投标人名称（盖章）：                        </w:t>
      </w:r>
    </w:p>
    <w:p>
      <w:pPr>
        <w:spacing w:line="360" w:lineRule="exact"/>
        <w:ind w:right="2100" w:rightChars="1000"/>
        <w:jc w:val="left"/>
        <w:rPr>
          <w:rFonts w:ascii="宋体" w:hAnsi="宋体" w:cs="宋体"/>
          <w:snapToGrid w:val="0"/>
          <w:kern w:val="0"/>
          <w:sz w:val="22"/>
          <w:szCs w:val="24"/>
        </w:rPr>
      </w:pPr>
      <w:r>
        <w:rPr>
          <w:rFonts w:hint="eastAsia" w:ascii="宋体" w:hAnsi="宋体" w:cs="宋体"/>
          <w:snapToGrid w:val="0"/>
          <w:kern w:val="0"/>
          <w:sz w:val="22"/>
          <w:szCs w:val="24"/>
        </w:rPr>
        <w:t>日期：   年   月   日</w:t>
      </w:r>
    </w:p>
    <w:p>
      <w:pPr>
        <w:numPr>
          <w:ilvl w:val="0"/>
          <w:numId w:val="6"/>
        </w:numPr>
        <w:jc w:val="center"/>
        <w:outlineLvl w:val="2"/>
        <w:rPr>
          <w:rFonts w:ascii="宋体" w:hAnsi="宋体" w:cs="宋体"/>
          <w:b/>
          <w:bCs/>
          <w:sz w:val="32"/>
          <w:szCs w:val="32"/>
        </w:rPr>
      </w:pPr>
      <w:r>
        <w:br w:type="page"/>
      </w:r>
      <w:r>
        <w:rPr>
          <w:rFonts w:hint="eastAsia" w:ascii="宋体" w:hAnsi="宋体" w:cs="宋体"/>
          <w:b/>
          <w:bCs/>
          <w:sz w:val="32"/>
          <w:szCs w:val="32"/>
        </w:rPr>
        <w:t>供应商情况介绍</w:t>
      </w:r>
    </w:p>
    <w:p>
      <w:pPr>
        <w:numPr>
          <w:ilvl w:val="0"/>
          <w:numId w:val="8"/>
        </w:numPr>
        <w:spacing w:line="360" w:lineRule="exact"/>
        <w:jc w:val="left"/>
        <w:rPr>
          <w:rFonts w:cs="宋体"/>
          <w:b/>
          <w:bCs/>
          <w:sz w:val="22"/>
        </w:rPr>
      </w:pPr>
      <w:r>
        <w:rPr>
          <w:rFonts w:hint="eastAsia" w:cs="宋体"/>
          <w:b/>
          <w:bCs/>
          <w:sz w:val="22"/>
        </w:rPr>
        <w:t>供应商一览表</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2414"/>
        <w:gridCol w:w="4145"/>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adjustRightInd w:val="0"/>
              <w:snapToGrid w:val="0"/>
              <w:spacing w:line="360" w:lineRule="exact"/>
              <w:rPr>
                <w:rFonts w:ascii="宋体" w:hAnsi="宋体" w:cs="宋体"/>
                <w:bCs/>
                <w:sz w:val="22"/>
              </w:rPr>
            </w:pPr>
            <w:r>
              <w:rPr>
                <w:rFonts w:hint="eastAsia" w:ascii="宋体" w:hAnsi="宋体" w:cs="宋体"/>
                <w:bCs/>
                <w:sz w:val="22"/>
              </w:rPr>
              <w:t>序号</w:t>
            </w:r>
          </w:p>
        </w:tc>
        <w:tc>
          <w:tcPr>
            <w:tcW w:w="0" w:type="auto"/>
          </w:tcPr>
          <w:p>
            <w:pPr>
              <w:adjustRightInd w:val="0"/>
              <w:snapToGrid w:val="0"/>
              <w:spacing w:line="360" w:lineRule="exact"/>
              <w:rPr>
                <w:rFonts w:ascii="宋体" w:hAnsi="宋体" w:cs="宋体"/>
                <w:bCs/>
                <w:sz w:val="22"/>
              </w:rPr>
            </w:pPr>
            <w:r>
              <w:rPr>
                <w:rFonts w:hint="eastAsia" w:ascii="宋体" w:hAnsi="宋体" w:cs="宋体"/>
                <w:bCs/>
                <w:sz w:val="22"/>
              </w:rPr>
              <w:t>项  目</w:t>
            </w:r>
          </w:p>
        </w:tc>
        <w:tc>
          <w:tcPr>
            <w:tcW w:w="0" w:type="auto"/>
          </w:tcPr>
          <w:p>
            <w:pPr>
              <w:adjustRightInd w:val="0"/>
              <w:snapToGrid w:val="0"/>
              <w:spacing w:line="360" w:lineRule="exact"/>
              <w:rPr>
                <w:rFonts w:ascii="宋体" w:hAnsi="宋体" w:cs="宋体"/>
                <w:bCs/>
                <w:sz w:val="22"/>
              </w:rPr>
            </w:pPr>
            <w:r>
              <w:rPr>
                <w:rFonts w:hint="eastAsia" w:ascii="宋体" w:hAnsi="宋体" w:cs="宋体"/>
                <w:bCs/>
                <w:sz w:val="22"/>
              </w:rPr>
              <w:t>内容及说明</w:t>
            </w:r>
          </w:p>
        </w:tc>
        <w:tc>
          <w:tcPr>
            <w:tcW w:w="0" w:type="auto"/>
          </w:tcPr>
          <w:p>
            <w:pPr>
              <w:adjustRightInd w:val="0"/>
              <w:snapToGrid w:val="0"/>
              <w:spacing w:line="360" w:lineRule="exact"/>
              <w:rPr>
                <w:rFonts w:ascii="宋体" w:hAnsi="宋体" w:cs="宋体"/>
                <w:bCs/>
                <w:sz w:val="22"/>
              </w:rPr>
            </w:pPr>
            <w:r>
              <w:rPr>
                <w:rFonts w:hint="eastAsia" w:ascii="宋体" w:hAnsi="宋体" w:cs="宋体"/>
                <w:bCs/>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0" w:type="auto"/>
            <w:vMerge w:val="restart"/>
          </w:tcPr>
          <w:p>
            <w:pPr>
              <w:adjustRightInd w:val="0"/>
              <w:snapToGrid w:val="0"/>
              <w:spacing w:line="360" w:lineRule="exact"/>
              <w:rPr>
                <w:rFonts w:ascii="宋体" w:hAnsi="宋体" w:cs="宋体"/>
                <w:bCs/>
                <w:sz w:val="22"/>
              </w:rPr>
            </w:pPr>
            <w:r>
              <w:rPr>
                <w:rFonts w:hint="eastAsia" w:ascii="宋体" w:hAnsi="宋体" w:cs="宋体"/>
                <w:bCs/>
                <w:sz w:val="22"/>
              </w:rPr>
              <w:t>一</w:t>
            </w:r>
          </w:p>
        </w:tc>
        <w:tc>
          <w:tcPr>
            <w:tcW w:w="0" w:type="auto"/>
          </w:tcPr>
          <w:p>
            <w:pPr>
              <w:adjustRightInd w:val="0"/>
              <w:snapToGrid w:val="0"/>
              <w:spacing w:line="360" w:lineRule="exact"/>
              <w:rPr>
                <w:rFonts w:ascii="宋体" w:hAnsi="宋体" w:cs="宋体"/>
                <w:bCs/>
                <w:sz w:val="22"/>
              </w:rPr>
            </w:pPr>
            <w:r>
              <w:rPr>
                <w:rFonts w:hint="eastAsia" w:ascii="宋体" w:hAnsi="宋体" w:cs="宋体"/>
                <w:bCs/>
                <w:sz w:val="22"/>
              </w:rPr>
              <w:t>营业执照</w:t>
            </w:r>
          </w:p>
        </w:tc>
        <w:tc>
          <w:tcPr>
            <w:tcW w:w="0" w:type="auto"/>
          </w:tcPr>
          <w:p>
            <w:pPr>
              <w:adjustRightInd w:val="0"/>
              <w:snapToGrid w:val="0"/>
              <w:spacing w:line="360" w:lineRule="exact"/>
              <w:rPr>
                <w:rFonts w:ascii="宋体" w:hAnsi="宋体" w:cs="宋体"/>
                <w:bCs/>
                <w:sz w:val="22"/>
              </w:rPr>
            </w:pPr>
          </w:p>
        </w:tc>
        <w:tc>
          <w:tcPr>
            <w:tcW w:w="0" w:type="auto"/>
            <w:vMerge w:val="restart"/>
          </w:tcPr>
          <w:p>
            <w:pPr>
              <w:adjustRightInd w:val="0"/>
              <w:snapToGrid w:val="0"/>
              <w:spacing w:line="360" w:lineRule="exact"/>
              <w:rPr>
                <w:rFonts w:ascii="宋体" w:hAnsi="宋体" w:cs="宋体"/>
                <w:bCs/>
                <w:sz w:val="22"/>
              </w:rPr>
            </w:pPr>
            <w:r>
              <w:rPr>
                <w:rFonts w:hint="eastAsia" w:ascii="宋体" w:hAnsi="宋体" w:cs="宋体"/>
                <w:bCs/>
                <w:sz w:val="22"/>
              </w:rPr>
              <w:t>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0" w:type="auto"/>
            <w:vMerge w:val="continue"/>
          </w:tcPr>
          <w:p>
            <w:pPr>
              <w:adjustRightInd w:val="0"/>
              <w:snapToGrid w:val="0"/>
              <w:spacing w:line="360" w:lineRule="exact"/>
              <w:rPr>
                <w:rFonts w:ascii="宋体" w:hAnsi="宋体" w:cs="宋体"/>
                <w:bCs/>
                <w:sz w:val="22"/>
              </w:rPr>
            </w:pPr>
          </w:p>
        </w:tc>
        <w:tc>
          <w:tcPr>
            <w:tcW w:w="0" w:type="auto"/>
          </w:tcPr>
          <w:p>
            <w:pPr>
              <w:adjustRightInd w:val="0"/>
              <w:snapToGrid w:val="0"/>
              <w:spacing w:line="360" w:lineRule="exact"/>
              <w:rPr>
                <w:rFonts w:ascii="宋体" w:hAnsi="宋体" w:cs="宋体"/>
                <w:bCs/>
                <w:sz w:val="22"/>
              </w:rPr>
            </w:pPr>
            <w:r>
              <w:rPr>
                <w:rFonts w:hint="eastAsia" w:ascii="宋体" w:hAnsi="宋体" w:cs="宋体"/>
                <w:bCs/>
                <w:sz w:val="22"/>
              </w:rPr>
              <w:t>1.注册年度及注册编号</w:t>
            </w:r>
          </w:p>
        </w:tc>
        <w:tc>
          <w:tcPr>
            <w:tcW w:w="0" w:type="auto"/>
          </w:tcPr>
          <w:p>
            <w:pPr>
              <w:adjustRightInd w:val="0"/>
              <w:snapToGrid w:val="0"/>
              <w:spacing w:line="360" w:lineRule="exact"/>
              <w:rPr>
                <w:rFonts w:ascii="宋体" w:hAnsi="宋体" w:cs="宋体"/>
                <w:bCs/>
                <w:sz w:val="22"/>
              </w:rPr>
            </w:pPr>
          </w:p>
        </w:tc>
        <w:tc>
          <w:tcPr>
            <w:tcW w:w="0" w:type="auto"/>
            <w:vMerge w:val="continue"/>
          </w:tcPr>
          <w:p>
            <w:pPr>
              <w:adjustRightInd w:val="0"/>
              <w:snapToGrid w:val="0"/>
              <w:spacing w:line="360" w:lineRule="exact"/>
              <w:rPr>
                <w:rFonts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0" w:type="auto"/>
            <w:vMerge w:val="continue"/>
          </w:tcPr>
          <w:p>
            <w:pPr>
              <w:adjustRightInd w:val="0"/>
              <w:snapToGrid w:val="0"/>
              <w:spacing w:line="360" w:lineRule="exact"/>
              <w:rPr>
                <w:rFonts w:ascii="宋体" w:hAnsi="宋体" w:cs="宋体"/>
                <w:bCs/>
                <w:sz w:val="22"/>
              </w:rPr>
            </w:pPr>
          </w:p>
        </w:tc>
        <w:tc>
          <w:tcPr>
            <w:tcW w:w="0" w:type="auto"/>
          </w:tcPr>
          <w:p>
            <w:pPr>
              <w:adjustRightInd w:val="0"/>
              <w:snapToGrid w:val="0"/>
              <w:spacing w:line="360" w:lineRule="exact"/>
              <w:rPr>
                <w:rFonts w:ascii="宋体" w:hAnsi="宋体" w:cs="宋体"/>
                <w:bCs/>
                <w:sz w:val="22"/>
              </w:rPr>
            </w:pPr>
            <w:r>
              <w:rPr>
                <w:rFonts w:hint="eastAsia" w:ascii="宋体" w:hAnsi="宋体" w:cs="宋体"/>
                <w:bCs/>
                <w:sz w:val="22"/>
              </w:rPr>
              <w:t>2.注册资金（万元）：</w:t>
            </w:r>
          </w:p>
        </w:tc>
        <w:tc>
          <w:tcPr>
            <w:tcW w:w="0" w:type="auto"/>
          </w:tcPr>
          <w:p>
            <w:pPr>
              <w:adjustRightInd w:val="0"/>
              <w:snapToGrid w:val="0"/>
              <w:spacing w:line="360" w:lineRule="exact"/>
              <w:rPr>
                <w:rFonts w:ascii="宋体" w:hAnsi="宋体" w:cs="宋体"/>
                <w:bCs/>
                <w:sz w:val="22"/>
              </w:rPr>
            </w:pPr>
          </w:p>
        </w:tc>
        <w:tc>
          <w:tcPr>
            <w:tcW w:w="0" w:type="auto"/>
            <w:vMerge w:val="continue"/>
          </w:tcPr>
          <w:p>
            <w:pPr>
              <w:adjustRightInd w:val="0"/>
              <w:snapToGrid w:val="0"/>
              <w:spacing w:line="360" w:lineRule="exact"/>
              <w:rPr>
                <w:rFonts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0" w:type="auto"/>
            <w:vMerge w:val="continue"/>
          </w:tcPr>
          <w:p>
            <w:pPr>
              <w:adjustRightInd w:val="0"/>
              <w:snapToGrid w:val="0"/>
              <w:spacing w:line="360" w:lineRule="exact"/>
              <w:rPr>
                <w:rFonts w:ascii="宋体" w:hAnsi="宋体" w:cs="宋体"/>
                <w:bCs/>
                <w:sz w:val="22"/>
              </w:rPr>
            </w:pPr>
          </w:p>
        </w:tc>
        <w:tc>
          <w:tcPr>
            <w:tcW w:w="0" w:type="auto"/>
          </w:tcPr>
          <w:p>
            <w:pPr>
              <w:adjustRightInd w:val="0"/>
              <w:snapToGrid w:val="0"/>
              <w:spacing w:line="360" w:lineRule="exact"/>
              <w:rPr>
                <w:rFonts w:ascii="宋体" w:hAnsi="宋体" w:cs="宋体"/>
                <w:bCs/>
                <w:sz w:val="22"/>
              </w:rPr>
            </w:pPr>
            <w:r>
              <w:rPr>
                <w:rFonts w:hint="eastAsia" w:ascii="宋体" w:hAnsi="宋体" w:cs="宋体"/>
                <w:bCs/>
                <w:sz w:val="22"/>
              </w:rPr>
              <w:t>3.经营场所：</w:t>
            </w:r>
          </w:p>
        </w:tc>
        <w:tc>
          <w:tcPr>
            <w:tcW w:w="0" w:type="auto"/>
          </w:tcPr>
          <w:p>
            <w:pPr>
              <w:adjustRightInd w:val="0"/>
              <w:snapToGrid w:val="0"/>
              <w:spacing w:line="360" w:lineRule="exact"/>
              <w:rPr>
                <w:rFonts w:ascii="宋体" w:hAnsi="宋体" w:cs="宋体"/>
                <w:bCs/>
                <w:sz w:val="22"/>
              </w:rPr>
            </w:pPr>
          </w:p>
        </w:tc>
        <w:tc>
          <w:tcPr>
            <w:tcW w:w="0" w:type="auto"/>
            <w:vMerge w:val="continue"/>
          </w:tcPr>
          <w:p>
            <w:pPr>
              <w:adjustRightInd w:val="0"/>
              <w:snapToGrid w:val="0"/>
              <w:spacing w:line="360" w:lineRule="exact"/>
              <w:rPr>
                <w:rFonts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0" w:type="auto"/>
            <w:vMerge w:val="continue"/>
          </w:tcPr>
          <w:p>
            <w:pPr>
              <w:adjustRightInd w:val="0"/>
              <w:snapToGrid w:val="0"/>
              <w:spacing w:line="360" w:lineRule="exact"/>
              <w:rPr>
                <w:rFonts w:ascii="宋体" w:hAnsi="宋体" w:cs="宋体"/>
                <w:bCs/>
                <w:sz w:val="22"/>
              </w:rPr>
            </w:pPr>
          </w:p>
        </w:tc>
        <w:tc>
          <w:tcPr>
            <w:tcW w:w="0" w:type="auto"/>
          </w:tcPr>
          <w:p>
            <w:pPr>
              <w:adjustRightInd w:val="0"/>
              <w:snapToGrid w:val="0"/>
              <w:spacing w:line="360" w:lineRule="exact"/>
              <w:rPr>
                <w:rFonts w:ascii="宋体" w:hAnsi="宋体" w:cs="宋体"/>
                <w:bCs/>
                <w:sz w:val="22"/>
              </w:rPr>
            </w:pPr>
            <w:r>
              <w:rPr>
                <w:rFonts w:hint="eastAsia" w:ascii="宋体" w:hAnsi="宋体" w:cs="宋体"/>
                <w:bCs/>
                <w:sz w:val="22"/>
              </w:rPr>
              <w:t>4.有效期：</w:t>
            </w:r>
          </w:p>
        </w:tc>
        <w:tc>
          <w:tcPr>
            <w:tcW w:w="0" w:type="auto"/>
          </w:tcPr>
          <w:p>
            <w:pPr>
              <w:adjustRightInd w:val="0"/>
              <w:snapToGrid w:val="0"/>
              <w:spacing w:line="360" w:lineRule="exact"/>
              <w:rPr>
                <w:rFonts w:ascii="宋体" w:hAnsi="宋体" w:cs="宋体"/>
                <w:bCs/>
                <w:sz w:val="22"/>
              </w:rPr>
            </w:pPr>
          </w:p>
        </w:tc>
        <w:tc>
          <w:tcPr>
            <w:tcW w:w="0" w:type="auto"/>
            <w:vMerge w:val="continue"/>
          </w:tcPr>
          <w:p>
            <w:pPr>
              <w:adjustRightInd w:val="0"/>
              <w:snapToGrid w:val="0"/>
              <w:spacing w:line="360" w:lineRule="exact"/>
              <w:rPr>
                <w:rFonts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Pr>
          <w:p>
            <w:pPr>
              <w:adjustRightInd w:val="0"/>
              <w:snapToGrid w:val="0"/>
              <w:spacing w:line="360" w:lineRule="exact"/>
              <w:rPr>
                <w:rFonts w:ascii="宋体" w:hAnsi="宋体" w:cs="宋体"/>
                <w:bCs/>
                <w:sz w:val="22"/>
              </w:rPr>
            </w:pPr>
            <w:r>
              <w:rPr>
                <w:rFonts w:hint="eastAsia" w:ascii="宋体" w:hAnsi="宋体" w:cs="宋体"/>
                <w:bCs/>
                <w:sz w:val="22"/>
              </w:rPr>
              <w:t>二</w:t>
            </w:r>
          </w:p>
        </w:tc>
        <w:tc>
          <w:tcPr>
            <w:tcW w:w="0" w:type="auto"/>
          </w:tcPr>
          <w:p>
            <w:pPr>
              <w:adjustRightInd w:val="0"/>
              <w:snapToGrid w:val="0"/>
              <w:spacing w:line="360" w:lineRule="exact"/>
              <w:rPr>
                <w:rFonts w:ascii="宋体" w:hAnsi="宋体" w:cs="宋体"/>
                <w:bCs/>
                <w:sz w:val="22"/>
              </w:rPr>
            </w:pPr>
            <w:r>
              <w:rPr>
                <w:rFonts w:hint="eastAsia" w:ascii="宋体" w:hAnsi="宋体" w:cs="宋体"/>
                <w:bCs/>
                <w:sz w:val="22"/>
              </w:rPr>
              <w:t>税务登记证</w:t>
            </w:r>
          </w:p>
        </w:tc>
        <w:tc>
          <w:tcPr>
            <w:tcW w:w="0" w:type="auto"/>
          </w:tcPr>
          <w:p>
            <w:pPr>
              <w:adjustRightInd w:val="0"/>
              <w:snapToGrid w:val="0"/>
              <w:spacing w:line="360" w:lineRule="exact"/>
              <w:rPr>
                <w:rFonts w:ascii="宋体" w:hAnsi="宋体" w:cs="宋体"/>
                <w:bCs/>
                <w:sz w:val="22"/>
              </w:rPr>
            </w:pPr>
          </w:p>
        </w:tc>
        <w:tc>
          <w:tcPr>
            <w:tcW w:w="0" w:type="auto"/>
            <w:vMerge w:val="restart"/>
          </w:tcPr>
          <w:p>
            <w:pPr>
              <w:adjustRightInd w:val="0"/>
              <w:snapToGrid w:val="0"/>
              <w:spacing w:line="360" w:lineRule="exact"/>
              <w:rPr>
                <w:rFonts w:ascii="宋体" w:hAnsi="宋体" w:cs="宋体"/>
                <w:bCs/>
                <w:sz w:val="22"/>
              </w:rPr>
            </w:pPr>
            <w:r>
              <w:rPr>
                <w:rFonts w:hint="eastAsia" w:ascii="宋体" w:hAnsi="宋体" w:cs="宋体"/>
                <w:bCs/>
                <w:sz w:val="22"/>
              </w:rPr>
              <w:t>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adjustRightInd w:val="0"/>
              <w:snapToGrid w:val="0"/>
              <w:spacing w:line="360" w:lineRule="exact"/>
              <w:rPr>
                <w:rFonts w:ascii="宋体" w:hAnsi="宋体" w:cs="宋体"/>
                <w:bCs/>
                <w:sz w:val="22"/>
              </w:rPr>
            </w:pPr>
          </w:p>
        </w:tc>
        <w:tc>
          <w:tcPr>
            <w:tcW w:w="0" w:type="auto"/>
          </w:tcPr>
          <w:p>
            <w:pPr>
              <w:adjustRightInd w:val="0"/>
              <w:snapToGrid w:val="0"/>
              <w:spacing w:line="360" w:lineRule="exact"/>
              <w:rPr>
                <w:rFonts w:ascii="宋体" w:hAnsi="宋体" w:cs="宋体"/>
                <w:bCs/>
                <w:sz w:val="22"/>
              </w:rPr>
            </w:pPr>
            <w:r>
              <w:rPr>
                <w:rFonts w:hint="eastAsia" w:ascii="宋体" w:hAnsi="宋体" w:cs="宋体"/>
                <w:bCs/>
                <w:sz w:val="22"/>
              </w:rPr>
              <w:t>1.税务登记证编号：</w:t>
            </w:r>
          </w:p>
        </w:tc>
        <w:tc>
          <w:tcPr>
            <w:tcW w:w="0" w:type="auto"/>
          </w:tcPr>
          <w:p>
            <w:pPr>
              <w:adjustRightInd w:val="0"/>
              <w:snapToGrid w:val="0"/>
              <w:spacing w:line="360" w:lineRule="exact"/>
              <w:rPr>
                <w:rFonts w:ascii="宋体" w:hAnsi="宋体" w:cs="宋体"/>
                <w:bCs/>
                <w:sz w:val="22"/>
              </w:rPr>
            </w:pPr>
          </w:p>
        </w:tc>
        <w:tc>
          <w:tcPr>
            <w:tcW w:w="0" w:type="auto"/>
            <w:vMerge w:val="continue"/>
          </w:tcPr>
          <w:p>
            <w:pPr>
              <w:adjustRightInd w:val="0"/>
              <w:snapToGrid w:val="0"/>
              <w:spacing w:line="360" w:lineRule="exact"/>
              <w:rPr>
                <w:rFonts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adjustRightInd w:val="0"/>
              <w:snapToGrid w:val="0"/>
              <w:spacing w:line="360" w:lineRule="exact"/>
              <w:rPr>
                <w:rFonts w:ascii="宋体" w:hAnsi="宋体" w:cs="宋体"/>
                <w:bCs/>
                <w:sz w:val="22"/>
              </w:rPr>
            </w:pPr>
            <w:r>
              <w:rPr>
                <w:rFonts w:hint="eastAsia" w:ascii="宋体" w:hAnsi="宋体" w:cs="宋体"/>
                <w:bCs/>
                <w:sz w:val="22"/>
              </w:rPr>
              <w:t>三</w:t>
            </w:r>
            <w:r>
              <w:rPr>
                <w:rFonts w:hint="eastAsia" w:ascii="宋体" w:hAnsi="宋体" w:cs="宋体"/>
                <w:bCs/>
                <w:sz w:val="22"/>
              </w:rPr>
              <w:tab/>
            </w:r>
          </w:p>
        </w:tc>
        <w:tc>
          <w:tcPr>
            <w:tcW w:w="0" w:type="auto"/>
          </w:tcPr>
          <w:p>
            <w:pPr>
              <w:adjustRightInd w:val="0"/>
              <w:snapToGrid w:val="0"/>
              <w:spacing w:line="360" w:lineRule="exact"/>
              <w:rPr>
                <w:rFonts w:ascii="宋体" w:hAnsi="宋体" w:cs="宋体"/>
                <w:bCs/>
                <w:sz w:val="22"/>
              </w:rPr>
            </w:pPr>
            <w:r>
              <w:rPr>
                <w:rFonts w:hint="eastAsia" w:ascii="宋体" w:hAnsi="宋体" w:cs="宋体"/>
                <w:bCs/>
                <w:sz w:val="22"/>
              </w:rPr>
              <w:t>其他资格（质）证书</w:t>
            </w:r>
          </w:p>
        </w:tc>
        <w:tc>
          <w:tcPr>
            <w:tcW w:w="0" w:type="auto"/>
          </w:tcPr>
          <w:p>
            <w:pPr>
              <w:adjustRightInd w:val="0"/>
              <w:snapToGrid w:val="0"/>
              <w:spacing w:line="360" w:lineRule="exact"/>
              <w:rPr>
                <w:rFonts w:ascii="宋体" w:hAnsi="宋体" w:cs="宋体"/>
                <w:bCs/>
                <w:sz w:val="22"/>
              </w:rPr>
            </w:pPr>
            <w:r>
              <w:rPr>
                <w:rFonts w:hint="eastAsia" w:ascii="宋体" w:hAnsi="宋体" w:cs="宋体"/>
                <w:bCs/>
                <w:sz w:val="22"/>
              </w:rPr>
              <w:t>（若有其他资质证书，可按表格格式扩展</w:t>
            </w:r>
          </w:p>
        </w:tc>
        <w:tc>
          <w:tcPr>
            <w:tcW w:w="0" w:type="auto"/>
            <w:vMerge w:val="restart"/>
          </w:tcPr>
          <w:p>
            <w:pPr>
              <w:adjustRightInd w:val="0"/>
              <w:snapToGrid w:val="0"/>
              <w:spacing w:line="360" w:lineRule="exact"/>
              <w:rPr>
                <w:rFonts w:ascii="宋体" w:hAnsi="宋体" w:cs="宋体"/>
                <w:bCs/>
                <w:sz w:val="22"/>
              </w:rPr>
            </w:pPr>
            <w:r>
              <w:rPr>
                <w:rFonts w:hint="eastAsia" w:ascii="宋体" w:hAnsi="宋体" w:cs="宋体"/>
                <w:bCs/>
                <w:sz w:val="22"/>
              </w:rPr>
              <w:t>提供复印件</w:t>
            </w:r>
          </w:p>
          <w:p>
            <w:pPr>
              <w:adjustRightInd w:val="0"/>
              <w:snapToGrid w:val="0"/>
              <w:spacing w:line="360" w:lineRule="exact"/>
              <w:rPr>
                <w:rFonts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Pr>
          <w:p>
            <w:pPr>
              <w:adjustRightInd w:val="0"/>
              <w:snapToGrid w:val="0"/>
              <w:spacing w:line="360" w:lineRule="exact"/>
              <w:rPr>
                <w:rFonts w:ascii="宋体" w:hAnsi="宋体" w:cs="宋体"/>
                <w:bCs/>
                <w:sz w:val="22"/>
              </w:rPr>
            </w:pPr>
          </w:p>
        </w:tc>
        <w:tc>
          <w:tcPr>
            <w:tcW w:w="0" w:type="auto"/>
          </w:tcPr>
          <w:p>
            <w:pPr>
              <w:adjustRightInd w:val="0"/>
              <w:snapToGrid w:val="0"/>
              <w:spacing w:line="360" w:lineRule="exact"/>
              <w:rPr>
                <w:rFonts w:ascii="宋体" w:hAnsi="宋体" w:cs="宋体"/>
                <w:bCs/>
                <w:sz w:val="22"/>
              </w:rPr>
            </w:pPr>
            <w:r>
              <w:rPr>
                <w:rFonts w:hint="eastAsia" w:ascii="宋体" w:hAnsi="宋体" w:cs="宋体"/>
                <w:bCs/>
                <w:sz w:val="22"/>
              </w:rPr>
              <w:t>1.证书名称</w:t>
            </w:r>
            <w:r>
              <w:rPr>
                <w:rFonts w:hint="eastAsia" w:ascii="宋体" w:hAnsi="宋体" w:cs="宋体"/>
                <w:bCs/>
                <w:sz w:val="22"/>
              </w:rPr>
              <w:tab/>
            </w:r>
          </w:p>
        </w:tc>
        <w:tc>
          <w:tcPr>
            <w:tcW w:w="0" w:type="auto"/>
          </w:tcPr>
          <w:p>
            <w:pPr>
              <w:adjustRightInd w:val="0"/>
              <w:snapToGrid w:val="0"/>
              <w:spacing w:line="360" w:lineRule="exact"/>
              <w:rPr>
                <w:rFonts w:ascii="宋体" w:hAnsi="宋体" w:cs="宋体"/>
                <w:bCs/>
                <w:sz w:val="22"/>
              </w:rPr>
            </w:pPr>
          </w:p>
        </w:tc>
        <w:tc>
          <w:tcPr>
            <w:tcW w:w="0" w:type="auto"/>
            <w:vMerge w:val="continue"/>
          </w:tcPr>
          <w:p>
            <w:pPr>
              <w:adjustRightInd w:val="0"/>
              <w:snapToGrid w:val="0"/>
              <w:spacing w:line="360" w:lineRule="exact"/>
              <w:rPr>
                <w:rFonts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adjustRightInd w:val="0"/>
              <w:snapToGrid w:val="0"/>
              <w:spacing w:line="360" w:lineRule="exact"/>
              <w:rPr>
                <w:rFonts w:ascii="宋体" w:hAnsi="宋体" w:cs="宋体"/>
                <w:bCs/>
                <w:sz w:val="22"/>
              </w:rPr>
            </w:pPr>
          </w:p>
        </w:tc>
        <w:tc>
          <w:tcPr>
            <w:tcW w:w="0" w:type="auto"/>
          </w:tcPr>
          <w:p>
            <w:pPr>
              <w:adjustRightInd w:val="0"/>
              <w:snapToGrid w:val="0"/>
              <w:spacing w:line="360" w:lineRule="exact"/>
              <w:rPr>
                <w:rFonts w:ascii="宋体" w:hAnsi="宋体" w:cs="宋体"/>
                <w:bCs/>
                <w:sz w:val="22"/>
              </w:rPr>
            </w:pPr>
            <w:r>
              <w:rPr>
                <w:rFonts w:hint="eastAsia" w:ascii="宋体" w:hAnsi="宋体" w:cs="宋体"/>
                <w:bCs/>
                <w:sz w:val="22"/>
              </w:rPr>
              <w:t>2.批准单位</w:t>
            </w:r>
          </w:p>
        </w:tc>
        <w:tc>
          <w:tcPr>
            <w:tcW w:w="0" w:type="auto"/>
          </w:tcPr>
          <w:p>
            <w:pPr>
              <w:adjustRightInd w:val="0"/>
              <w:snapToGrid w:val="0"/>
              <w:spacing w:line="360" w:lineRule="exact"/>
              <w:rPr>
                <w:rFonts w:ascii="宋体" w:hAnsi="宋体" w:cs="宋体"/>
                <w:bCs/>
                <w:sz w:val="22"/>
              </w:rPr>
            </w:pPr>
          </w:p>
        </w:tc>
        <w:tc>
          <w:tcPr>
            <w:tcW w:w="0" w:type="auto"/>
            <w:vMerge w:val="continue"/>
          </w:tcPr>
          <w:p>
            <w:pPr>
              <w:adjustRightInd w:val="0"/>
              <w:snapToGrid w:val="0"/>
              <w:spacing w:line="360" w:lineRule="exact"/>
              <w:rPr>
                <w:rFonts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adjustRightInd w:val="0"/>
              <w:snapToGrid w:val="0"/>
              <w:spacing w:line="360" w:lineRule="exact"/>
              <w:rPr>
                <w:rFonts w:ascii="宋体" w:hAnsi="宋体" w:cs="宋体"/>
                <w:bCs/>
                <w:sz w:val="22"/>
              </w:rPr>
            </w:pPr>
          </w:p>
        </w:tc>
        <w:tc>
          <w:tcPr>
            <w:tcW w:w="0" w:type="auto"/>
          </w:tcPr>
          <w:p>
            <w:pPr>
              <w:adjustRightInd w:val="0"/>
              <w:snapToGrid w:val="0"/>
              <w:spacing w:line="360" w:lineRule="exact"/>
              <w:rPr>
                <w:rFonts w:ascii="宋体" w:hAnsi="宋体" w:cs="宋体"/>
                <w:bCs/>
                <w:sz w:val="22"/>
              </w:rPr>
            </w:pPr>
            <w:r>
              <w:rPr>
                <w:rFonts w:hint="eastAsia" w:ascii="宋体" w:hAnsi="宋体" w:cs="宋体"/>
                <w:bCs/>
                <w:sz w:val="22"/>
              </w:rPr>
              <w:t>3.等级</w:t>
            </w:r>
          </w:p>
        </w:tc>
        <w:tc>
          <w:tcPr>
            <w:tcW w:w="0" w:type="auto"/>
          </w:tcPr>
          <w:p>
            <w:pPr>
              <w:adjustRightInd w:val="0"/>
              <w:snapToGrid w:val="0"/>
              <w:spacing w:line="360" w:lineRule="exact"/>
              <w:rPr>
                <w:rFonts w:ascii="宋体" w:hAnsi="宋体" w:cs="宋体"/>
                <w:bCs/>
                <w:sz w:val="22"/>
              </w:rPr>
            </w:pPr>
          </w:p>
        </w:tc>
        <w:tc>
          <w:tcPr>
            <w:tcW w:w="0" w:type="auto"/>
            <w:vMerge w:val="continue"/>
          </w:tcPr>
          <w:p>
            <w:pPr>
              <w:adjustRightInd w:val="0"/>
              <w:snapToGrid w:val="0"/>
              <w:spacing w:line="360" w:lineRule="exact"/>
              <w:rPr>
                <w:rFonts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adjustRightInd w:val="0"/>
              <w:snapToGrid w:val="0"/>
              <w:spacing w:line="360" w:lineRule="exact"/>
              <w:rPr>
                <w:rFonts w:ascii="宋体" w:hAnsi="宋体" w:cs="宋体"/>
                <w:bCs/>
                <w:sz w:val="22"/>
              </w:rPr>
            </w:pPr>
          </w:p>
        </w:tc>
        <w:tc>
          <w:tcPr>
            <w:tcW w:w="0" w:type="auto"/>
          </w:tcPr>
          <w:p>
            <w:pPr>
              <w:adjustRightInd w:val="0"/>
              <w:snapToGrid w:val="0"/>
              <w:spacing w:line="360" w:lineRule="exact"/>
              <w:rPr>
                <w:rFonts w:ascii="宋体" w:hAnsi="宋体" w:cs="宋体"/>
                <w:bCs/>
                <w:sz w:val="22"/>
              </w:rPr>
            </w:pPr>
            <w:r>
              <w:rPr>
                <w:rFonts w:hint="eastAsia" w:ascii="宋体" w:hAnsi="宋体" w:cs="宋体"/>
                <w:bCs/>
                <w:sz w:val="22"/>
              </w:rPr>
              <w:t>4.批准时间及编号</w:t>
            </w:r>
          </w:p>
        </w:tc>
        <w:tc>
          <w:tcPr>
            <w:tcW w:w="0" w:type="auto"/>
          </w:tcPr>
          <w:p>
            <w:pPr>
              <w:adjustRightInd w:val="0"/>
              <w:snapToGrid w:val="0"/>
              <w:spacing w:line="360" w:lineRule="exact"/>
              <w:rPr>
                <w:rFonts w:ascii="宋体" w:hAnsi="宋体" w:cs="宋体"/>
                <w:bCs/>
                <w:sz w:val="22"/>
              </w:rPr>
            </w:pPr>
          </w:p>
        </w:tc>
        <w:tc>
          <w:tcPr>
            <w:tcW w:w="0" w:type="auto"/>
            <w:vMerge w:val="continue"/>
          </w:tcPr>
          <w:p>
            <w:pPr>
              <w:adjustRightInd w:val="0"/>
              <w:snapToGrid w:val="0"/>
              <w:spacing w:line="360" w:lineRule="exact"/>
              <w:rPr>
                <w:rFonts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adjustRightInd w:val="0"/>
              <w:snapToGrid w:val="0"/>
              <w:spacing w:line="360" w:lineRule="exact"/>
              <w:rPr>
                <w:rFonts w:ascii="宋体" w:hAnsi="宋体" w:cs="宋体"/>
                <w:bCs/>
                <w:sz w:val="22"/>
              </w:rPr>
            </w:pPr>
          </w:p>
        </w:tc>
        <w:tc>
          <w:tcPr>
            <w:tcW w:w="0" w:type="auto"/>
          </w:tcPr>
          <w:p>
            <w:pPr>
              <w:adjustRightInd w:val="0"/>
              <w:snapToGrid w:val="0"/>
              <w:spacing w:line="360" w:lineRule="exact"/>
              <w:rPr>
                <w:rFonts w:ascii="宋体" w:hAnsi="宋体" w:cs="宋体"/>
                <w:bCs/>
                <w:sz w:val="22"/>
              </w:rPr>
            </w:pPr>
            <w:r>
              <w:rPr>
                <w:rFonts w:hint="eastAsia" w:ascii="宋体" w:hAnsi="宋体" w:cs="宋体"/>
                <w:bCs/>
                <w:sz w:val="22"/>
              </w:rPr>
              <w:t>5.有效期</w:t>
            </w:r>
            <w:r>
              <w:rPr>
                <w:rFonts w:hint="eastAsia" w:ascii="宋体" w:hAnsi="宋体" w:cs="宋体"/>
                <w:bCs/>
                <w:sz w:val="22"/>
              </w:rPr>
              <w:tab/>
            </w:r>
          </w:p>
        </w:tc>
        <w:tc>
          <w:tcPr>
            <w:tcW w:w="0" w:type="auto"/>
          </w:tcPr>
          <w:p>
            <w:pPr>
              <w:adjustRightInd w:val="0"/>
              <w:snapToGrid w:val="0"/>
              <w:spacing w:line="360" w:lineRule="exact"/>
              <w:rPr>
                <w:rFonts w:ascii="宋体" w:hAnsi="宋体" w:cs="宋体"/>
                <w:bCs/>
                <w:sz w:val="22"/>
              </w:rPr>
            </w:pPr>
          </w:p>
        </w:tc>
        <w:tc>
          <w:tcPr>
            <w:tcW w:w="0" w:type="auto"/>
            <w:vMerge w:val="continue"/>
          </w:tcPr>
          <w:p>
            <w:pPr>
              <w:adjustRightInd w:val="0"/>
              <w:snapToGrid w:val="0"/>
              <w:spacing w:line="360" w:lineRule="exact"/>
              <w:rPr>
                <w:rFonts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adjustRightInd w:val="0"/>
              <w:snapToGrid w:val="0"/>
              <w:spacing w:line="360" w:lineRule="exact"/>
              <w:rPr>
                <w:rFonts w:ascii="宋体" w:hAnsi="宋体" w:cs="宋体"/>
                <w:bCs/>
                <w:sz w:val="22"/>
              </w:rPr>
            </w:pPr>
            <w:r>
              <w:rPr>
                <w:rFonts w:hint="eastAsia" w:ascii="宋体" w:hAnsi="宋体" w:cs="宋体"/>
                <w:bCs/>
                <w:sz w:val="22"/>
              </w:rPr>
              <w:t>四</w:t>
            </w:r>
          </w:p>
        </w:tc>
        <w:tc>
          <w:tcPr>
            <w:tcW w:w="0" w:type="auto"/>
          </w:tcPr>
          <w:p>
            <w:pPr>
              <w:adjustRightInd w:val="0"/>
              <w:snapToGrid w:val="0"/>
              <w:spacing w:line="360" w:lineRule="exact"/>
              <w:rPr>
                <w:rFonts w:ascii="宋体" w:hAnsi="宋体" w:cs="宋体"/>
                <w:bCs/>
                <w:sz w:val="22"/>
              </w:rPr>
            </w:pPr>
            <w:r>
              <w:rPr>
                <w:rFonts w:hint="eastAsia" w:ascii="宋体" w:hAnsi="宋体" w:cs="宋体"/>
                <w:bCs/>
                <w:sz w:val="22"/>
              </w:rPr>
              <w:t>其他</w:t>
            </w:r>
          </w:p>
        </w:tc>
        <w:tc>
          <w:tcPr>
            <w:tcW w:w="0" w:type="auto"/>
          </w:tcPr>
          <w:p>
            <w:pPr>
              <w:adjustRightInd w:val="0"/>
              <w:snapToGrid w:val="0"/>
              <w:spacing w:line="360" w:lineRule="exact"/>
              <w:rPr>
                <w:rFonts w:ascii="宋体" w:hAnsi="宋体" w:cs="宋体"/>
                <w:bCs/>
                <w:sz w:val="22"/>
              </w:rPr>
            </w:pPr>
            <w:r>
              <w:rPr>
                <w:rFonts w:hint="eastAsia" w:ascii="宋体" w:hAnsi="宋体" w:cs="宋体"/>
                <w:bCs/>
                <w:sz w:val="22"/>
              </w:rPr>
              <w:t>投标人认为需补充的其他说明</w:t>
            </w:r>
          </w:p>
        </w:tc>
        <w:tc>
          <w:tcPr>
            <w:tcW w:w="0" w:type="auto"/>
          </w:tcPr>
          <w:p>
            <w:pPr>
              <w:adjustRightInd w:val="0"/>
              <w:snapToGrid w:val="0"/>
              <w:spacing w:line="360" w:lineRule="exact"/>
              <w:rPr>
                <w:rFonts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adjustRightInd w:val="0"/>
              <w:snapToGrid w:val="0"/>
              <w:spacing w:line="360" w:lineRule="exact"/>
              <w:rPr>
                <w:rFonts w:ascii="宋体" w:hAnsi="宋体" w:cs="宋体"/>
                <w:bCs/>
                <w:sz w:val="22"/>
              </w:rPr>
            </w:pPr>
          </w:p>
        </w:tc>
        <w:tc>
          <w:tcPr>
            <w:tcW w:w="0" w:type="auto"/>
          </w:tcPr>
          <w:p>
            <w:pPr>
              <w:adjustRightInd w:val="0"/>
              <w:snapToGrid w:val="0"/>
              <w:spacing w:line="360" w:lineRule="exact"/>
              <w:rPr>
                <w:rFonts w:ascii="宋体" w:hAnsi="宋体" w:cs="宋体"/>
                <w:bCs/>
                <w:sz w:val="22"/>
              </w:rPr>
            </w:pPr>
            <w:r>
              <w:rPr>
                <w:rFonts w:hint="eastAsia" w:ascii="宋体" w:hAnsi="宋体" w:cs="宋体"/>
                <w:bCs/>
                <w:sz w:val="22"/>
              </w:rPr>
              <w:t>1.……………………</w:t>
            </w:r>
          </w:p>
        </w:tc>
        <w:tc>
          <w:tcPr>
            <w:tcW w:w="0" w:type="auto"/>
          </w:tcPr>
          <w:p>
            <w:pPr>
              <w:adjustRightInd w:val="0"/>
              <w:snapToGrid w:val="0"/>
              <w:spacing w:line="360" w:lineRule="exact"/>
              <w:rPr>
                <w:rFonts w:ascii="宋体" w:hAnsi="宋体" w:cs="宋体"/>
                <w:bCs/>
                <w:sz w:val="22"/>
              </w:rPr>
            </w:pPr>
          </w:p>
        </w:tc>
        <w:tc>
          <w:tcPr>
            <w:tcW w:w="0" w:type="auto"/>
          </w:tcPr>
          <w:p>
            <w:pPr>
              <w:adjustRightInd w:val="0"/>
              <w:snapToGrid w:val="0"/>
              <w:spacing w:line="360" w:lineRule="exact"/>
              <w:rPr>
                <w:rFonts w:ascii="宋体" w:hAnsi="宋体" w:cs="宋体"/>
                <w:bCs/>
                <w:sz w:val="22"/>
              </w:rPr>
            </w:pPr>
          </w:p>
        </w:tc>
      </w:tr>
    </w:tbl>
    <w:p>
      <w:pPr>
        <w:adjustRightInd w:val="0"/>
        <w:snapToGrid w:val="0"/>
        <w:spacing w:line="360" w:lineRule="exact"/>
        <w:rPr>
          <w:rFonts w:ascii="宋体" w:hAnsi="宋体" w:cs="宋体"/>
          <w:b/>
          <w:sz w:val="22"/>
        </w:rPr>
      </w:pPr>
      <w:r>
        <w:rPr>
          <w:rFonts w:hint="eastAsia" w:ascii="宋体" w:hAnsi="宋体" w:cs="宋体"/>
          <w:bCs/>
          <w:sz w:val="22"/>
        </w:rPr>
        <w:tab/>
      </w:r>
      <w:r>
        <w:rPr>
          <w:rFonts w:hint="eastAsia" w:ascii="宋体" w:hAnsi="宋体" w:cs="宋体"/>
          <w:bCs/>
          <w:sz w:val="22"/>
        </w:rPr>
        <w:t>注：在按要求填写好此表格后，各投标单位可以用其它的方式，就公司整体情况作出详细的介绍（可以提供相应文字、照片等）。</w:t>
      </w:r>
    </w:p>
    <w:p>
      <w:pPr>
        <w:numPr>
          <w:ilvl w:val="0"/>
          <w:numId w:val="9"/>
        </w:numPr>
        <w:adjustRightInd w:val="0"/>
        <w:snapToGrid w:val="0"/>
        <w:spacing w:line="360" w:lineRule="exact"/>
        <w:rPr>
          <w:b/>
          <w:color w:val="000000"/>
          <w:sz w:val="22"/>
        </w:rPr>
      </w:pPr>
      <w:r>
        <w:rPr>
          <w:b/>
          <w:color w:val="000000"/>
          <w:sz w:val="22"/>
        </w:rPr>
        <w:t>供应商资格证明文件</w:t>
      </w:r>
    </w:p>
    <w:p>
      <w:pPr>
        <w:pStyle w:val="43"/>
        <w:spacing w:after="0" w:line="360" w:lineRule="exact"/>
        <w:ind w:left="0" w:leftChars="0" w:firstLine="0" w:firstLineChars="0"/>
        <w:rPr>
          <w:rFonts w:ascii="Times New Roman" w:hAnsi="Times New Roman"/>
          <w:bCs/>
          <w:color w:val="000000"/>
          <w:sz w:val="22"/>
          <w:szCs w:val="22"/>
        </w:rPr>
      </w:pPr>
      <w:r>
        <w:rPr>
          <w:rFonts w:ascii="Times New Roman" w:hAnsi="Times New Roman"/>
          <w:color w:val="000000"/>
          <w:sz w:val="22"/>
          <w:szCs w:val="22"/>
        </w:rPr>
        <w:t>（</w:t>
      </w:r>
      <w:r>
        <w:rPr>
          <w:rFonts w:ascii="Times New Roman" w:hAnsi="Times New Roman"/>
          <w:bCs/>
          <w:color w:val="000000"/>
          <w:sz w:val="22"/>
          <w:szCs w:val="22"/>
        </w:rPr>
        <w:t>1）营业执照（或单位法人登记证等）复印件；</w:t>
      </w:r>
    </w:p>
    <w:p>
      <w:pPr>
        <w:pStyle w:val="43"/>
        <w:spacing w:after="0" w:line="360" w:lineRule="exact"/>
        <w:ind w:left="0" w:leftChars="0" w:firstLine="0" w:firstLineChars="0"/>
        <w:rPr>
          <w:rFonts w:ascii="Times New Roman" w:hAnsi="Times New Roman"/>
          <w:b/>
          <w:color w:val="000000"/>
          <w:sz w:val="22"/>
          <w:szCs w:val="22"/>
        </w:rPr>
      </w:pPr>
      <w:r>
        <w:rPr>
          <w:rFonts w:ascii="Times New Roman" w:hAnsi="Times New Roman"/>
          <w:b/>
          <w:color w:val="000000"/>
          <w:sz w:val="22"/>
          <w:szCs w:val="22"/>
        </w:rPr>
        <w:t>（2）</w:t>
      </w:r>
      <w:r>
        <w:rPr>
          <w:rFonts w:hint="eastAsia" w:ascii="Times New Roman" w:hAnsi="Times New Roman"/>
          <w:b/>
          <w:color w:val="000000"/>
          <w:sz w:val="22"/>
          <w:szCs w:val="22"/>
        </w:rPr>
        <w:t>提供招标公告中关于投标人资格要求的相关资格证明文件复印件（</w:t>
      </w:r>
      <w:r>
        <w:rPr>
          <w:rFonts w:hint="eastAsia"/>
          <w:b/>
          <w:color w:val="FF0000"/>
          <w:sz w:val="22"/>
          <w:szCs w:val="22"/>
        </w:rPr>
        <w:t>企业信用信息公示报告等文件</w:t>
      </w:r>
      <w:r>
        <w:rPr>
          <w:rFonts w:hint="eastAsia" w:ascii="Times New Roman" w:hAnsi="Times New Roman"/>
          <w:b/>
          <w:color w:val="000000"/>
          <w:sz w:val="22"/>
          <w:szCs w:val="22"/>
        </w:rPr>
        <w:t>）</w:t>
      </w:r>
      <w:r>
        <w:rPr>
          <w:rFonts w:ascii="Times New Roman" w:hAnsi="Times New Roman"/>
          <w:b/>
          <w:color w:val="000000"/>
          <w:sz w:val="22"/>
          <w:szCs w:val="22"/>
        </w:rPr>
        <w:t>。</w:t>
      </w:r>
    </w:p>
    <w:p>
      <w:pPr>
        <w:rPr>
          <w:b/>
          <w:color w:val="000000"/>
          <w:sz w:val="22"/>
        </w:rPr>
      </w:pPr>
    </w:p>
    <w:p>
      <w:pPr>
        <w:pStyle w:val="10"/>
        <w:rPr>
          <w:bCs w:val="0"/>
          <w:color w:val="000000"/>
          <w:sz w:val="22"/>
          <w:szCs w:val="22"/>
        </w:rPr>
      </w:pPr>
    </w:p>
    <w:p>
      <w:pPr>
        <w:rPr>
          <w:b/>
          <w:color w:val="000000"/>
          <w:sz w:val="22"/>
        </w:rPr>
      </w:pPr>
    </w:p>
    <w:p>
      <w:pPr>
        <w:pStyle w:val="10"/>
        <w:rPr>
          <w:bCs w:val="0"/>
          <w:color w:val="000000"/>
          <w:sz w:val="22"/>
          <w:szCs w:val="22"/>
        </w:rPr>
      </w:pPr>
    </w:p>
    <w:p>
      <w:pPr>
        <w:rPr>
          <w:b/>
          <w:color w:val="000000"/>
          <w:sz w:val="22"/>
        </w:rPr>
      </w:pPr>
    </w:p>
    <w:p>
      <w:pPr>
        <w:pStyle w:val="10"/>
        <w:rPr>
          <w:bCs w:val="0"/>
          <w:color w:val="000000"/>
          <w:sz w:val="22"/>
          <w:szCs w:val="22"/>
        </w:rPr>
      </w:pPr>
    </w:p>
    <w:p>
      <w:pPr>
        <w:rPr>
          <w:b/>
          <w:color w:val="000000"/>
          <w:sz w:val="22"/>
        </w:rPr>
      </w:pPr>
    </w:p>
    <w:p>
      <w:pPr>
        <w:pStyle w:val="10"/>
        <w:rPr>
          <w:bCs w:val="0"/>
          <w:color w:val="000000"/>
          <w:sz w:val="22"/>
          <w:szCs w:val="22"/>
        </w:rPr>
      </w:pPr>
    </w:p>
    <w:p>
      <w:pPr>
        <w:rPr>
          <w:b/>
          <w:color w:val="000000"/>
          <w:sz w:val="22"/>
        </w:rPr>
      </w:pPr>
    </w:p>
    <w:p>
      <w:pPr>
        <w:pStyle w:val="10"/>
      </w:pPr>
    </w:p>
    <w:p>
      <w:pPr>
        <w:numPr>
          <w:ilvl w:val="0"/>
          <w:numId w:val="9"/>
        </w:numPr>
        <w:adjustRightInd w:val="0"/>
        <w:snapToGrid w:val="0"/>
        <w:spacing w:line="360" w:lineRule="exact"/>
        <w:rPr>
          <w:b/>
          <w:sz w:val="22"/>
        </w:rPr>
      </w:pPr>
      <w:r>
        <w:rPr>
          <w:b/>
          <w:sz w:val="22"/>
        </w:rPr>
        <w:t>“关键信息-评标信息”规定的公司业绩、已做项目简介</w:t>
      </w:r>
    </w:p>
    <w:tbl>
      <w:tblPr>
        <w:tblStyle w:val="4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1027"/>
        <w:gridCol w:w="1151"/>
        <w:gridCol w:w="1182"/>
        <w:gridCol w:w="1165"/>
        <w:gridCol w:w="1166"/>
        <w:gridCol w:w="905"/>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3" w:type="pct"/>
            <w:vAlign w:val="center"/>
          </w:tcPr>
          <w:p>
            <w:pPr>
              <w:adjustRightInd w:val="0"/>
              <w:snapToGrid w:val="0"/>
              <w:spacing w:line="360" w:lineRule="exact"/>
              <w:jc w:val="center"/>
              <w:rPr>
                <w:bCs/>
                <w:sz w:val="22"/>
              </w:rPr>
            </w:pPr>
            <w:r>
              <w:rPr>
                <w:bCs/>
                <w:sz w:val="22"/>
              </w:rPr>
              <w:t>序号</w:t>
            </w:r>
          </w:p>
        </w:tc>
        <w:tc>
          <w:tcPr>
            <w:tcW w:w="602" w:type="pct"/>
            <w:vAlign w:val="center"/>
          </w:tcPr>
          <w:p>
            <w:pPr>
              <w:adjustRightInd w:val="0"/>
              <w:snapToGrid w:val="0"/>
              <w:spacing w:line="360" w:lineRule="exact"/>
              <w:jc w:val="center"/>
              <w:rPr>
                <w:bCs/>
                <w:sz w:val="22"/>
              </w:rPr>
            </w:pPr>
            <w:r>
              <w:rPr>
                <w:bCs/>
                <w:sz w:val="22"/>
              </w:rPr>
              <w:t>采购人</w:t>
            </w:r>
          </w:p>
        </w:tc>
        <w:tc>
          <w:tcPr>
            <w:tcW w:w="675" w:type="pct"/>
            <w:vAlign w:val="center"/>
          </w:tcPr>
          <w:p>
            <w:pPr>
              <w:adjustRightInd w:val="0"/>
              <w:snapToGrid w:val="0"/>
              <w:spacing w:line="360" w:lineRule="exact"/>
              <w:jc w:val="center"/>
              <w:rPr>
                <w:bCs/>
                <w:sz w:val="22"/>
              </w:rPr>
            </w:pPr>
            <w:r>
              <w:rPr>
                <w:bCs/>
                <w:sz w:val="22"/>
              </w:rPr>
              <w:t>项目名称</w:t>
            </w:r>
          </w:p>
        </w:tc>
        <w:tc>
          <w:tcPr>
            <w:tcW w:w="693" w:type="pct"/>
            <w:vAlign w:val="center"/>
          </w:tcPr>
          <w:p>
            <w:pPr>
              <w:adjustRightInd w:val="0"/>
              <w:snapToGrid w:val="0"/>
              <w:spacing w:line="360" w:lineRule="exact"/>
              <w:jc w:val="center"/>
              <w:rPr>
                <w:bCs/>
                <w:sz w:val="22"/>
              </w:rPr>
            </w:pPr>
            <w:r>
              <w:rPr>
                <w:bCs/>
                <w:sz w:val="22"/>
              </w:rPr>
              <w:t>规模（金额/元）</w:t>
            </w:r>
          </w:p>
        </w:tc>
        <w:tc>
          <w:tcPr>
            <w:tcW w:w="683" w:type="pct"/>
            <w:vAlign w:val="center"/>
          </w:tcPr>
          <w:p>
            <w:pPr>
              <w:adjustRightInd w:val="0"/>
              <w:snapToGrid w:val="0"/>
              <w:spacing w:line="360" w:lineRule="exact"/>
              <w:jc w:val="center"/>
              <w:rPr>
                <w:bCs/>
                <w:sz w:val="22"/>
              </w:rPr>
            </w:pPr>
            <w:r>
              <w:rPr>
                <w:bCs/>
                <w:sz w:val="22"/>
              </w:rPr>
              <w:t>完成时间</w:t>
            </w:r>
          </w:p>
        </w:tc>
        <w:tc>
          <w:tcPr>
            <w:tcW w:w="684" w:type="pct"/>
            <w:vAlign w:val="center"/>
          </w:tcPr>
          <w:p>
            <w:pPr>
              <w:adjustRightInd w:val="0"/>
              <w:snapToGrid w:val="0"/>
              <w:spacing w:line="360" w:lineRule="exact"/>
              <w:jc w:val="center"/>
              <w:rPr>
                <w:bCs/>
                <w:sz w:val="22"/>
              </w:rPr>
            </w:pPr>
            <w:r>
              <w:rPr>
                <w:bCs/>
                <w:sz w:val="22"/>
              </w:rPr>
              <w:t>运行情况</w:t>
            </w:r>
          </w:p>
        </w:tc>
        <w:tc>
          <w:tcPr>
            <w:tcW w:w="531" w:type="pct"/>
            <w:vAlign w:val="center"/>
          </w:tcPr>
          <w:p>
            <w:pPr>
              <w:adjustRightInd w:val="0"/>
              <w:snapToGrid w:val="0"/>
              <w:spacing w:line="360" w:lineRule="exact"/>
              <w:jc w:val="center"/>
              <w:rPr>
                <w:bCs/>
                <w:sz w:val="22"/>
              </w:rPr>
            </w:pPr>
            <w:r>
              <w:rPr>
                <w:bCs/>
                <w:sz w:val="22"/>
              </w:rPr>
              <w:t>联系人</w:t>
            </w:r>
          </w:p>
        </w:tc>
        <w:tc>
          <w:tcPr>
            <w:tcW w:w="684" w:type="pct"/>
            <w:vAlign w:val="center"/>
          </w:tcPr>
          <w:p>
            <w:pPr>
              <w:adjustRightInd w:val="0"/>
              <w:snapToGrid w:val="0"/>
              <w:spacing w:line="360" w:lineRule="exact"/>
              <w:jc w:val="center"/>
              <w:rPr>
                <w:bCs/>
                <w:sz w:val="22"/>
              </w:rPr>
            </w:pPr>
            <w:r>
              <w:rPr>
                <w:bCs/>
                <w:sz w:val="22"/>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tcPr>
          <w:p>
            <w:pPr>
              <w:adjustRightInd w:val="0"/>
              <w:snapToGrid w:val="0"/>
              <w:spacing w:line="360" w:lineRule="exact"/>
              <w:rPr>
                <w:bCs/>
                <w:sz w:val="22"/>
              </w:rPr>
            </w:pPr>
          </w:p>
        </w:tc>
        <w:tc>
          <w:tcPr>
            <w:tcW w:w="602" w:type="pct"/>
          </w:tcPr>
          <w:p>
            <w:pPr>
              <w:adjustRightInd w:val="0"/>
              <w:snapToGrid w:val="0"/>
              <w:spacing w:line="360" w:lineRule="exact"/>
              <w:rPr>
                <w:bCs/>
                <w:sz w:val="22"/>
              </w:rPr>
            </w:pPr>
          </w:p>
        </w:tc>
        <w:tc>
          <w:tcPr>
            <w:tcW w:w="675" w:type="pct"/>
          </w:tcPr>
          <w:p>
            <w:pPr>
              <w:adjustRightInd w:val="0"/>
              <w:snapToGrid w:val="0"/>
              <w:spacing w:line="360" w:lineRule="exact"/>
              <w:rPr>
                <w:bCs/>
                <w:sz w:val="22"/>
              </w:rPr>
            </w:pPr>
          </w:p>
        </w:tc>
        <w:tc>
          <w:tcPr>
            <w:tcW w:w="693" w:type="pct"/>
          </w:tcPr>
          <w:p>
            <w:pPr>
              <w:adjustRightInd w:val="0"/>
              <w:snapToGrid w:val="0"/>
              <w:spacing w:line="360" w:lineRule="exact"/>
              <w:rPr>
                <w:bCs/>
                <w:sz w:val="22"/>
              </w:rPr>
            </w:pPr>
          </w:p>
        </w:tc>
        <w:tc>
          <w:tcPr>
            <w:tcW w:w="683" w:type="pct"/>
          </w:tcPr>
          <w:p>
            <w:pPr>
              <w:adjustRightInd w:val="0"/>
              <w:snapToGrid w:val="0"/>
              <w:spacing w:line="360" w:lineRule="exact"/>
              <w:rPr>
                <w:bCs/>
                <w:sz w:val="22"/>
              </w:rPr>
            </w:pPr>
          </w:p>
        </w:tc>
        <w:tc>
          <w:tcPr>
            <w:tcW w:w="684" w:type="pct"/>
          </w:tcPr>
          <w:p>
            <w:pPr>
              <w:adjustRightInd w:val="0"/>
              <w:snapToGrid w:val="0"/>
              <w:spacing w:line="360" w:lineRule="exact"/>
              <w:rPr>
                <w:bCs/>
                <w:sz w:val="22"/>
              </w:rPr>
            </w:pPr>
          </w:p>
        </w:tc>
        <w:tc>
          <w:tcPr>
            <w:tcW w:w="531" w:type="pct"/>
          </w:tcPr>
          <w:p>
            <w:pPr>
              <w:adjustRightInd w:val="0"/>
              <w:snapToGrid w:val="0"/>
              <w:spacing w:line="360" w:lineRule="exact"/>
              <w:rPr>
                <w:bCs/>
                <w:sz w:val="22"/>
              </w:rPr>
            </w:pPr>
          </w:p>
        </w:tc>
        <w:tc>
          <w:tcPr>
            <w:tcW w:w="684" w:type="pct"/>
          </w:tcPr>
          <w:p>
            <w:pPr>
              <w:adjustRightInd w:val="0"/>
              <w:snapToGrid w:val="0"/>
              <w:spacing w:line="360" w:lineRule="exact"/>
              <w:rPr>
                <w:bCs/>
                <w:sz w:val="22"/>
              </w:rPr>
            </w:pPr>
          </w:p>
        </w:tc>
      </w:tr>
    </w:tbl>
    <w:p>
      <w:pPr>
        <w:adjustRightInd w:val="0"/>
        <w:snapToGrid w:val="0"/>
        <w:spacing w:line="360" w:lineRule="exact"/>
        <w:rPr>
          <w:sz w:val="22"/>
        </w:rPr>
      </w:pPr>
      <w:r>
        <w:rPr>
          <w:sz w:val="22"/>
        </w:rPr>
        <w:t>投标单位公章：</w:t>
      </w:r>
    </w:p>
    <w:p>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sz w:val="22"/>
        </w:rPr>
        <w:t>法人代表或被授权人签字：</w:t>
      </w:r>
    </w:p>
    <w:p>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sz w:val="22"/>
        </w:rPr>
        <w:t>注：1、在</w:t>
      </w:r>
      <w:r>
        <w:rPr>
          <w:rFonts w:hint="eastAsia"/>
          <w:sz w:val="22"/>
        </w:rPr>
        <w:t>表格</w:t>
      </w:r>
      <w:r>
        <w:rPr>
          <w:sz w:val="22"/>
        </w:rPr>
        <w:t>中填写项目单位名称、联系人、联系方式等内容。</w:t>
      </w:r>
    </w:p>
    <w:p>
      <w:pPr>
        <w:tabs>
          <w:tab w:val="left" w:pos="414"/>
          <w:tab w:val="left" w:pos="1974"/>
          <w:tab w:val="left" w:pos="3414"/>
          <w:tab w:val="left" w:pos="4854"/>
          <w:tab w:val="left" w:pos="6174"/>
          <w:tab w:val="left" w:pos="7614"/>
          <w:tab w:val="left" w:pos="9414"/>
        </w:tabs>
        <w:adjustRightInd w:val="0"/>
        <w:snapToGrid w:val="0"/>
        <w:spacing w:line="360" w:lineRule="exact"/>
        <w:ind w:firstLine="440" w:firstLineChars="200"/>
        <w:rPr>
          <w:sz w:val="22"/>
        </w:rPr>
      </w:pPr>
      <w:r>
        <w:rPr>
          <w:sz w:val="22"/>
        </w:rPr>
        <w:t>2、需递交上述项目的证明材料（中标通知书或合同关键页）扫描件（加盖公章），原件备查。</w:t>
      </w:r>
    </w:p>
    <w:p>
      <w:pPr>
        <w:tabs>
          <w:tab w:val="left" w:pos="414"/>
          <w:tab w:val="left" w:pos="1974"/>
          <w:tab w:val="left" w:pos="3414"/>
          <w:tab w:val="left" w:pos="4854"/>
          <w:tab w:val="left" w:pos="6174"/>
          <w:tab w:val="left" w:pos="7614"/>
          <w:tab w:val="left" w:pos="9414"/>
        </w:tabs>
        <w:adjustRightInd w:val="0"/>
        <w:snapToGrid w:val="0"/>
        <w:spacing w:line="360" w:lineRule="exact"/>
        <w:ind w:firstLine="440" w:firstLineChars="200"/>
        <w:rPr>
          <w:bCs/>
          <w:sz w:val="22"/>
        </w:rPr>
      </w:pPr>
      <w:r>
        <w:rPr>
          <w:sz w:val="22"/>
        </w:rPr>
        <w:t>3、提供的资料须齐全。</w:t>
      </w:r>
    </w:p>
    <w:p>
      <w:pPr>
        <w:numPr>
          <w:ilvl w:val="0"/>
          <w:numId w:val="9"/>
        </w:numPr>
        <w:adjustRightInd w:val="0"/>
        <w:snapToGrid w:val="0"/>
        <w:spacing w:line="360" w:lineRule="exact"/>
        <w:rPr>
          <w:b/>
          <w:sz w:val="22"/>
        </w:rPr>
      </w:pPr>
      <w:bookmarkStart w:id="30" w:name="_Toc518137920"/>
      <w:bookmarkStart w:id="31" w:name="_Toc13820"/>
      <w:bookmarkStart w:id="32" w:name="_Toc19163"/>
      <w:r>
        <w:rPr>
          <w:rFonts w:hint="eastAsia"/>
          <w:b/>
          <w:sz w:val="22"/>
        </w:rPr>
        <w:t>其它重要事项说明及承诺</w:t>
      </w:r>
      <w:bookmarkEnd w:id="30"/>
      <w:bookmarkEnd w:id="31"/>
      <w:bookmarkEnd w:id="32"/>
    </w:p>
    <w:p>
      <w:pPr>
        <w:rPr>
          <w:sz w:val="22"/>
        </w:rPr>
      </w:pPr>
      <w:r>
        <w:rPr>
          <w:rFonts w:hint="eastAsia" w:ascii="宋体" w:hAnsi="宋体"/>
        </w:rPr>
        <w:t xml:space="preserve"> </w:t>
      </w:r>
    </w:p>
    <w:p>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rFonts w:hint="eastAsia"/>
          <w:sz w:val="22"/>
        </w:rPr>
        <w:t>(请扼要叙述)</w:t>
      </w:r>
    </w:p>
    <w:p>
      <w:pPr>
        <w:tabs>
          <w:tab w:val="left" w:pos="414"/>
          <w:tab w:val="left" w:pos="1974"/>
          <w:tab w:val="left" w:pos="3414"/>
          <w:tab w:val="left" w:pos="4854"/>
          <w:tab w:val="left" w:pos="6174"/>
          <w:tab w:val="left" w:pos="7614"/>
          <w:tab w:val="left" w:pos="9414"/>
        </w:tabs>
        <w:adjustRightInd w:val="0"/>
        <w:snapToGrid w:val="0"/>
        <w:spacing w:line="360" w:lineRule="exact"/>
        <w:rPr>
          <w:sz w:val="22"/>
        </w:rPr>
      </w:pPr>
    </w:p>
    <w:p>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rFonts w:hint="eastAsia"/>
          <w:sz w:val="22"/>
          <w:lang w:val="zh-CN"/>
        </w:rPr>
        <w:t>法定代表人（</w:t>
      </w:r>
      <w:r>
        <w:rPr>
          <w:rFonts w:hint="eastAsia"/>
          <w:sz w:val="22"/>
        </w:rPr>
        <w:t>单位负责人</w:t>
      </w:r>
      <w:r>
        <w:rPr>
          <w:rFonts w:hint="eastAsia"/>
          <w:sz w:val="22"/>
          <w:lang w:val="zh-CN"/>
        </w:rPr>
        <w:t>）或其授权代表（签字</w:t>
      </w:r>
      <w:r>
        <w:rPr>
          <w:rFonts w:hint="eastAsia"/>
          <w:sz w:val="22"/>
        </w:rPr>
        <w:t>或盖章</w:t>
      </w:r>
      <w:r>
        <w:rPr>
          <w:rFonts w:hint="eastAsia"/>
          <w:sz w:val="22"/>
          <w:lang w:val="zh-CN"/>
        </w:rPr>
        <w:t>）</w:t>
      </w:r>
      <w:r>
        <w:rPr>
          <w:rFonts w:hint="eastAsia"/>
          <w:sz w:val="22"/>
        </w:rPr>
        <w:t>：</w:t>
      </w:r>
      <w:r>
        <w:rPr>
          <w:sz w:val="22"/>
        </w:rPr>
        <w:t xml:space="preserve">                   </w:t>
      </w:r>
    </w:p>
    <w:p>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rFonts w:hint="eastAsia"/>
          <w:sz w:val="22"/>
        </w:rPr>
        <w:t>投标人名称（盖章）：</w:t>
      </w:r>
      <w:r>
        <w:rPr>
          <w:sz w:val="22"/>
        </w:rPr>
        <w:t xml:space="preserve">                        </w:t>
      </w:r>
    </w:p>
    <w:p>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rFonts w:hint="eastAsia"/>
          <w:sz w:val="22"/>
        </w:rPr>
        <w:t>日期：</w:t>
      </w:r>
      <w:r>
        <w:rPr>
          <w:sz w:val="22"/>
        </w:rPr>
        <w:t xml:space="preserve">   </w:t>
      </w:r>
      <w:r>
        <w:rPr>
          <w:rFonts w:hint="eastAsia"/>
          <w:sz w:val="22"/>
        </w:rPr>
        <w:t>年</w:t>
      </w:r>
      <w:r>
        <w:rPr>
          <w:sz w:val="22"/>
        </w:rPr>
        <w:t xml:space="preserve">   </w:t>
      </w:r>
      <w:r>
        <w:rPr>
          <w:rFonts w:hint="eastAsia"/>
          <w:sz w:val="22"/>
        </w:rPr>
        <w:t>月</w:t>
      </w:r>
      <w:r>
        <w:rPr>
          <w:sz w:val="22"/>
        </w:rPr>
        <w:t xml:space="preserve">   </w:t>
      </w:r>
      <w:r>
        <w:rPr>
          <w:rFonts w:hint="eastAsia"/>
          <w:sz w:val="22"/>
        </w:rPr>
        <w:t>日</w:t>
      </w:r>
    </w:p>
    <w:p>
      <w:pPr>
        <w:tabs>
          <w:tab w:val="left" w:pos="414"/>
          <w:tab w:val="left" w:pos="1974"/>
          <w:tab w:val="left" w:pos="3414"/>
          <w:tab w:val="left" w:pos="4854"/>
          <w:tab w:val="left" w:pos="6174"/>
          <w:tab w:val="left" w:pos="7614"/>
          <w:tab w:val="left" w:pos="9414"/>
        </w:tabs>
        <w:adjustRightInd w:val="0"/>
        <w:snapToGrid w:val="0"/>
        <w:spacing w:line="360" w:lineRule="exact"/>
        <w:rPr>
          <w:rFonts w:ascii="宋体" w:hAnsi="宋体" w:cs="宋体"/>
          <w:bCs/>
          <w:sz w:val="22"/>
        </w:rPr>
      </w:pPr>
    </w:p>
    <w:p>
      <w:pPr>
        <w:pStyle w:val="43"/>
        <w:ind w:left="0" w:leftChars="0" w:firstLine="0" w:firstLineChars="0"/>
        <w:rPr>
          <w:rFonts w:ascii="Times New Roman" w:hAnsi="Times New Roman"/>
        </w:rPr>
      </w:pPr>
      <w:r>
        <w:rPr>
          <w:rFonts w:ascii="Times New Roman" w:hAnsi="Times New Roman"/>
        </w:rPr>
        <w:br w:type="page"/>
      </w:r>
    </w:p>
    <w:p>
      <w:pPr>
        <w:numPr>
          <w:ilvl w:val="0"/>
          <w:numId w:val="6"/>
        </w:numPr>
        <w:jc w:val="center"/>
        <w:outlineLvl w:val="2"/>
        <w:rPr>
          <w:b/>
          <w:bCs/>
          <w:sz w:val="32"/>
          <w:szCs w:val="32"/>
        </w:rPr>
      </w:pPr>
      <w:r>
        <w:rPr>
          <w:b/>
          <w:bCs/>
          <w:sz w:val="32"/>
          <w:szCs w:val="32"/>
        </w:rPr>
        <w:t>项目主要管理及技术人员情况</w:t>
      </w:r>
    </w:p>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3"/>
        <w:gridCol w:w="779"/>
        <w:gridCol w:w="839"/>
        <w:gridCol w:w="854"/>
        <w:gridCol w:w="837"/>
        <w:gridCol w:w="1349"/>
        <w:gridCol w:w="958"/>
        <w:gridCol w:w="913"/>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pct"/>
            <w:vMerge w:val="restart"/>
            <w:shd w:val="clear" w:color="auto" w:fill="B8CCE4"/>
            <w:vAlign w:val="center"/>
          </w:tcPr>
          <w:p>
            <w:pPr>
              <w:spacing w:line="360" w:lineRule="exact"/>
              <w:jc w:val="center"/>
              <w:rPr>
                <w:rFonts w:ascii="宋体" w:hAnsi="宋体" w:cs="宋体"/>
                <w:b/>
                <w:sz w:val="22"/>
              </w:rPr>
            </w:pPr>
            <w:r>
              <w:rPr>
                <w:rFonts w:hint="eastAsia" w:ascii="宋体" w:hAnsi="宋体" w:cs="宋体"/>
                <w:b/>
                <w:sz w:val="22"/>
              </w:rPr>
              <w:t>类别</w:t>
            </w:r>
          </w:p>
        </w:tc>
        <w:tc>
          <w:tcPr>
            <w:tcW w:w="457" w:type="pct"/>
            <w:vMerge w:val="restart"/>
            <w:shd w:val="clear" w:color="auto" w:fill="B8CCE4"/>
            <w:vAlign w:val="center"/>
          </w:tcPr>
          <w:p>
            <w:pPr>
              <w:spacing w:line="360" w:lineRule="exact"/>
              <w:jc w:val="center"/>
              <w:rPr>
                <w:rFonts w:ascii="宋体" w:hAnsi="宋体" w:cs="宋体"/>
                <w:b/>
                <w:sz w:val="22"/>
              </w:rPr>
            </w:pPr>
            <w:r>
              <w:rPr>
                <w:rFonts w:hint="eastAsia" w:ascii="宋体" w:hAnsi="宋体" w:cs="宋体"/>
                <w:b/>
                <w:sz w:val="22"/>
              </w:rPr>
              <w:t>姓名</w:t>
            </w:r>
          </w:p>
        </w:tc>
        <w:tc>
          <w:tcPr>
            <w:tcW w:w="492" w:type="pct"/>
            <w:vMerge w:val="restart"/>
            <w:shd w:val="clear" w:color="auto" w:fill="B8CCE4"/>
            <w:vAlign w:val="center"/>
          </w:tcPr>
          <w:p>
            <w:pPr>
              <w:spacing w:line="360" w:lineRule="exact"/>
              <w:jc w:val="center"/>
              <w:rPr>
                <w:rFonts w:ascii="宋体" w:hAnsi="宋体" w:cs="宋体"/>
                <w:b/>
                <w:sz w:val="22"/>
              </w:rPr>
            </w:pPr>
            <w:r>
              <w:rPr>
                <w:rFonts w:hint="eastAsia" w:ascii="宋体" w:hAnsi="宋体" w:cs="宋体"/>
                <w:b/>
                <w:sz w:val="22"/>
              </w:rPr>
              <w:t>职务</w:t>
            </w:r>
          </w:p>
        </w:tc>
        <w:tc>
          <w:tcPr>
            <w:tcW w:w="501" w:type="pct"/>
            <w:vMerge w:val="restart"/>
            <w:shd w:val="clear" w:color="auto" w:fill="B8CCE4"/>
            <w:vAlign w:val="center"/>
          </w:tcPr>
          <w:p>
            <w:pPr>
              <w:spacing w:line="360" w:lineRule="exact"/>
              <w:jc w:val="center"/>
              <w:rPr>
                <w:rFonts w:ascii="宋体" w:hAnsi="宋体" w:cs="宋体"/>
                <w:b/>
                <w:sz w:val="22"/>
              </w:rPr>
            </w:pPr>
            <w:r>
              <w:rPr>
                <w:rFonts w:hint="eastAsia" w:ascii="宋体" w:hAnsi="宋体" w:cs="宋体"/>
                <w:b/>
                <w:sz w:val="22"/>
              </w:rPr>
              <w:t>职称</w:t>
            </w:r>
          </w:p>
        </w:tc>
        <w:tc>
          <w:tcPr>
            <w:tcW w:w="491" w:type="pct"/>
            <w:vMerge w:val="restart"/>
            <w:shd w:val="clear" w:color="auto" w:fill="B8CCE4"/>
            <w:vAlign w:val="center"/>
          </w:tcPr>
          <w:p>
            <w:pPr>
              <w:spacing w:line="360" w:lineRule="exact"/>
              <w:jc w:val="center"/>
              <w:rPr>
                <w:rFonts w:ascii="宋体" w:hAnsi="宋体" w:cs="宋体"/>
                <w:b/>
                <w:sz w:val="22"/>
              </w:rPr>
            </w:pPr>
            <w:r>
              <w:rPr>
                <w:rFonts w:hint="eastAsia" w:ascii="宋体" w:hAnsi="宋体" w:cs="宋体"/>
                <w:b/>
                <w:sz w:val="22"/>
              </w:rPr>
              <w:t>学历</w:t>
            </w:r>
          </w:p>
        </w:tc>
        <w:tc>
          <w:tcPr>
            <w:tcW w:w="2402" w:type="pct"/>
            <w:gridSpan w:val="4"/>
            <w:shd w:val="clear" w:color="auto" w:fill="B8CCE4"/>
          </w:tcPr>
          <w:p>
            <w:pPr>
              <w:spacing w:line="360" w:lineRule="exact"/>
              <w:jc w:val="center"/>
              <w:rPr>
                <w:rFonts w:ascii="宋体" w:hAnsi="宋体" w:cs="宋体"/>
                <w:b/>
                <w:sz w:val="22"/>
              </w:rPr>
            </w:pPr>
            <w:r>
              <w:rPr>
                <w:rFonts w:hint="eastAsia" w:ascii="宋体" w:hAnsi="宋体" w:cs="宋体"/>
                <w:b/>
                <w:sz w:val="22"/>
              </w:rPr>
              <w:t>上岗资格证明（执业资格或专业等级）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pct"/>
            <w:vMerge w:val="continue"/>
            <w:shd w:val="clear" w:color="auto" w:fill="B8CCE4"/>
          </w:tcPr>
          <w:p>
            <w:pPr>
              <w:spacing w:line="360" w:lineRule="exact"/>
              <w:rPr>
                <w:rFonts w:ascii="宋体" w:hAnsi="宋体" w:cs="宋体"/>
                <w:b/>
                <w:sz w:val="22"/>
              </w:rPr>
            </w:pPr>
          </w:p>
        </w:tc>
        <w:tc>
          <w:tcPr>
            <w:tcW w:w="457" w:type="pct"/>
            <w:vMerge w:val="continue"/>
            <w:shd w:val="clear" w:color="auto" w:fill="B8CCE4"/>
          </w:tcPr>
          <w:p>
            <w:pPr>
              <w:spacing w:line="360" w:lineRule="exact"/>
              <w:rPr>
                <w:rFonts w:ascii="宋体" w:hAnsi="宋体" w:cs="宋体"/>
                <w:b/>
                <w:sz w:val="22"/>
              </w:rPr>
            </w:pPr>
          </w:p>
        </w:tc>
        <w:tc>
          <w:tcPr>
            <w:tcW w:w="492" w:type="pct"/>
            <w:vMerge w:val="continue"/>
            <w:shd w:val="clear" w:color="auto" w:fill="B8CCE4"/>
          </w:tcPr>
          <w:p>
            <w:pPr>
              <w:spacing w:line="360" w:lineRule="exact"/>
              <w:rPr>
                <w:rFonts w:ascii="宋体" w:hAnsi="宋体" w:cs="宋体"/>
                <w:b/>
                <w:sz w:val="22"/>
              </w:rPr>
            </w:pPr>
          </w:p>
        </w:tc>
        <w:tc>
          <w:tcPr>
            <w:tcW w:w="501" w:type="pct"/>
            <w:vMerge w:val="continue"/>
            <w:shd w:val="clear" w:color="auto" w:fill="B8CCE4"/>
          </w:tcPr>
          <w:p>
            <w:pPr>
              <w:spacing w:line="360" w:lineRule="exact"/>
              <w:rPr>
                <w:rFonts w:ascii="宋体" w:hAnsi="宋体" w:cs="宋体"/>
                <w:b/>
                <w:sz w:val="22"/>
              </w:rPr>
            </w:pPr>
          </w:p>
        </w:tc>
        <w:tc>
          <w:tcPr>
            <w:tcW w:w="491" w:type="pct"/>
            <w:vMerge w:val="continue"/>
            <w:shd w:val="clear" w:color="auto" w:fill="B8CCE4"/>
          </w:tcPr>
          <w:p>
            <w:pPr>
              <w:spacing w:line="360" w:lineRule="exact"/>
              <w:rPr>
                <w:rFonts w:ascii="宋体" w:hAnsi="宋体" w:cs="宋体"/>
                <w:b/>
                <w:sz w:val="22"/>
              </w:rPr>
            </w:pPr>
          </w:p>
        </w:tc>
        <w:tc>
          <w:tcPr>
            <w:tcW w:w="791" w:type="pct"/>
            <w:shd w:val="clear" w:color="auto" w:fill="B8CCE4"/>
          </w:tcPr>
          <w:p>
            <w:pPr>
              <w:spacing w:line="360" w:lineRule="exact"/>
              <w:jc w:val="center"/>
              <w:rPr>
                <w:rFonts w:ascii="宋体" w:hAnsi="宋体" w:cs="宋体"/>
                <w:b/>
                <w:sz w:val="22"/>
              </w:rPr>
            </w:pPr>
            <w:r>
              <w:rPr>
                <w:rFonts w:hint="eastAsia" w:ascii="宋体" w:hAnsi="宋体" w:cs="宋体"/>
                <w:b/>
                <w:sz w:val="22"/>
              </w:rPr>
              <w:t>证书名称</w:t>
            </w:r>
          </w:p>
        </w:tc>
        <w:tc>
          <w:tcPr>
            <w:tcW w:w="562" w:type="pct"/>
            <w:shd w:val="clear" w:color="auto" w:fill="B8CCE4"/>
          </w:tcPr>
          <w:p>
            <w:pPr>
              <w:spacing w:line="360" w:lineRule="exact"/>
              <w:jc w:val="center"/>
              <w:rPr>
                <w:rFonts w:ascii="宋体" w:hAnsi="宋体" w:cs="宋体"/>
                <w:b/>
                <w:sz w:val="22"/>
              </w:rPr>
            </w:pPr>
            <w:r>
              <w:rPr>
                <w:rFonts w:hint="eastAsia" w:ascii="宋体" w:hAnsi="宋体" w:cs="宋体"/>
                <w:b/>
                <w:sz w:val="22"/>
              </w:rPr>
              <w:t>级别</w:t>
            </w:r>
          </w:p>
        </w:tc>
        <w:tc>
          <w:tcPr>
            <w:tcW w:w="535" w:type="pct"/>
            <w:shd w:val="clear" w:color="auto" w:fill="B8CCE4"/>
          </w:tcPr>
          <w:p>
            <w:pPr>
              <w:spacing w:line="360" w:lineRule="exact"/>
              <w:jc w:val="center"/>
              <w:rPr>
                <w:rFonts w:ascii="宋体" w:hAnsi="宋体" w:cs="宋体"/>
                <w:b/>
                <w:sz w:val="22"/>
              </w:rPr>
            </w:pPr>
            <w:r>
              <w:rPr>
                <w:rFonts w:hint="eastAsia" w:ascii="宋体" w:hAnsi="宋体" w:cs="宋体"/>
                <w:b/>
                <w:sz w:val="22"/>
              </w:rPr>
              <w:t>证号</w:t>
            </w:r>
          </w:p>
        </w:tc>
        <w:tc>
          <w:tcPr>
            <w:tcW w:w="513" w:type="pct"/>
            <w:shd w:val="clear" w:color="auto" w:fill="B8CCE4"/>
          </w:tcPr>
          <w:p>
            <w:pPr>
              <w:spacing w:line="360" w:lineRule="exact"/>
              <w:jc w:val="center"/>
              <w:rPr>
                <w:rFonts w:ascii="宋体" w:hAnsi="宋体" w:cs="宋体"/>
                <w:b/>
                <w:sz w:val="22"/>
              </w:rPr>
            </w:pPr>
            <w:r>
              <w:rPr>
                <w:rFonts w:hint="eastAsia" w:ascii="宋体" w:hAnsi="宋体" w:cs="宋体"/>
                <w:b/>
                <w:sz w:val="22"/>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653" w:type="pct"/>
            <w:vAlign w:val="center"/>
          </w:tcPr>
          <w:p>
            <w:pPr>
              <w:spacing w:line="360" w:lineRule="exact"/>
              <w:jc w:val="center"/>
              <w:rPr>
                <w:rFonts w:ascii="宋体" w:hAnsi="宋体" w:cs="宋体"/>
                <w:kern w:val="0"/>
                <w:sz w:val="22"/>
              </w:rPr>
            </w:pPr>
            <w:r>
              <w:rPr>
                <w:rFonts w:hint="eastAsia" w:ascii="宋体" w:hAnsi="宋体" w:cs="宋体"/>
                <w:kern w:val="0"/>
                <w:sz w:val="22"/>
              </w:rPr>
              <w:t>项目</w:t>
            </w:r>
          </w:p>
          <w:p>
            <w:pPr>
              <w:spacing w:line="360" w:lineRule="exact"/>
              <w:jc w:val="center"/>
              <w:rPr>
                <w:rFonts w:ascii="宋体" w:hAnsi="宋体" w:cs="宋体"/>
                <w:bCs/>
                <w:sz w:val="22"/>
              </w:rPr>
            </w:pPr>
            <w:r>
              <w:rPr>
                <w:rFonts w:hint="eastAsia" w:ascii="宋体" w:hAnsi="宋体" w:cs="宋体"/>
                <w:kern w:val="0"/>
                <w:sz w:val="22"/>
              </w:rPr>
              <w:t>负责人</w:t>
            </w:r>
          </w:p>
        </w:tc>
        <w:tc>
          <w:tcPr>
            <w:tcW w:w="457" w:type="pct"/>
          </w:tcPr>
          <w:p>
            <w:pPr>
              <w:spacing w:line="360" w:lineRule="exact"/>
              <w:rPr>
                <w:rFonts w:ascii="宋体" w:hAnsi="宋体" w:cs="宋体"/>
                <w:bCs/>
                <w:sz w:val="22"/>
              </w:rPr>
            </w:pPr>
          </w:p>
        </w:tc>
        <w:tc>
          <w:tcPr>
            <w:tcW w:w="492" w:type="pct"/>
          </w:tcPr>
          <w:p>
            <w:pPr>
              <w:spacing w:line="360" w:lineRule="exact"/>
              <w:rPr>
                <w:rFonts w:ascii="宋体" w:hAnsi="宋体" w:cs="宋体"/>
                <w:bCs/>
                <w:sz w:val="22"/>
              </w:rPr>
            </w:pPr>
          </w:p>
        </w:tc>
        <w:tc>
          <w:tcPr>
            <w:tcW w:w="501" w:type="pct"/>
          </w:tcPr>
          <w:p>
            <w:pPr>
              <w:spacing w:line="360" w:lineRule="exact"/>
              <w:rPr>
                <w:rFonts w:ascii="宋体" w:hAnsi="宋体" w:cs="宋体"/>
                <w:bCs/>
                <w:sz w:val="22"/>
              </w:rPr>
            </w:pPr>
          </w:p>
        </w:tc>
        <w:tc>
          <w:tcPr>
            <w:tcW w:w="491" w:type="pct"/>
          </w:tcPr>
          <w:p>
            <w:pPr>
              <w:spacing w:line="360" w:lineRule="exact"/>
              <w:rPr>
                <w:rFonts w:ascii="宋体" w:hAnsi="宋体" w:cs="宋体"/>
                <w:bCs/>
                <w:sz w:val="22"/>
              </w:rPr>
            </w:pPr>
          </w:p>
        </w:tc>
        <w:tc>
          <w:tcPr>
            <w:tcW w:w="791" w:type="pct"/>
          </w:tcPr>
          <w:p>
            <w:pPr>
              <w:spacing w:line="360" w:lineRule="exact"/>
              <w:rPr>
                <w:rFonts w:ascii="宋体" w:hAnsi="宋体" w:cs="宋体"/>
                <w:bCs/>
                <w:sz w:val="22"/>
              </w:rPr>
            </w:pPr>
          </w:p>
        </w:tc>
        <w:tc>
          <w:tcPr>
            <w:tcW w:w="562" w:type="pct"/>
          </w:tcPr>
          <w:p>
            <w:pPr>
              <w:spacing w:line="360" w:lineRule="exact"/>
              <w:rPr>
                <w:rFonts w:ascii="宋体" w:hAnsi="宋体" w:cs="宋体"/>
                <w:bCs/>
                <w:sz w:val="22"/>
              </w:rPr>
            </w:pPr>
          </w:p>
        </w:tc>
        <w:tc>
          <w:tcPr>
            <w:tcW w:w="535" w:type="pct"/>
          </w:tcPr>
          <w:p>
            <w:pPr>
              <w:spacing w:line="360" w:lineRule="exact"/>
              <w:rPr>
                <w:rFonts w:ascii="宋体" w:hAnsi="宋体" w:cs="宋体"/>
                <w:bCs/>
                <w:sz w:val="22"/>
              </w:rPr>
            </w:pPr>
          </w:p>
        </w:tc>
        <w:tc>
          <w:tcPr>
            <w:tcW w:w="513" w:type="pct"/>
          </w:tcPr>
          <w:p>
            <w:pPr>
              <w:spacing w:line="360" w:lineRule="exact"/>
              <w:rPr>
                <w:rFonts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restart"/>
            <w:vAlign w:val="center"/>
          </w:tcPr>
          <w:p>
            <w:pPr>
              <w:spacing w:line="360" w:lineRule="exact"/>
              <w:jc w:val="center"/>
              <w:rPr>
                <w:rFonts w:ascii="宋体" w:hAnsi="宋体" w:cs="宋体"/>
                <w:bCs/>
                <w:sz w:val="22"/>
              </w:rPr>
            </w:pPr>
            <w:r>
              <w:rPr>
                <w:rFonts w:hint="eastAsia" w:ascii="宋体" w:hAnsi="宋体" w:cs="宋体"/>
                <w:kern w:val="0"/>
                <w:sz w:val="22"/>
              </w:rPr>
              <w:t>其他项目组成员</w:t>
            </w:r>
          </w:p>
        </w:tc>
        <w:tc>
          <w:tcPr>
            <w:tcW w:w="457" w:type="pct"/>
          </w:tcPr>
          <w:p>
            <w:pPr>
              <w:spacing w:line="360" w:lineRule="exact"/>
              <w:rPr>
                <w:rFonts w:ascii="宋体" w:hAnsi="宋体" w:cs="宋体"/>
                <w:bCs/>
                <w:sz w:val="22"/>
              </w:rPr>
            </w:pPr>
          </w:p>
        </w:tc>
        <w:tc>
          <w:tcPr>
            <w:tcW w:w="492" w:type="pct"/>
          </w:tcPr>
          <w:p>
            <w:pPr>
              <w:spacing w:line="360" w:lineRule="exact"/>
              <w:rPr>
                <w:rFonts w:ascii="宋体" w:hAnsi="宋体" w:cs="宋体"/>
                <w:bCs/>
                <w:sz w:val="22"/>
              </w:rPr>
            </w:pPr>
          </w:p>
        </w:tc>
        <w:tc>
          <w:tcPr>
            <w:tcW w:w="501" w:type="pct"/>
          </w:tcPr>
          <w:p>
            <w:pPr>
              <w:spacing w:line="360" w:lineRule="exact"/>
              <w:rPr>
                <w:rFonts w:ascii="宋体" w:hAnsi="宋体" w:cs="宋体"/>
                <w:bCs/>
                <w:sz w:val="22"/>
              </w:rPr>
            </w:pPr>
          </w:p>
        </w:tc>
        <w:tc>
          <w:tcPr>
            <w:tcW w:w="491" w:type="pct"/>
          </w:tcPr>
          <w:p>
            <w:pPr>
              <w:spacing w:line="360" w:lineRule="exact"/>
              <w:rPr>
                <w:rFonts w:ascii="宋体" w:hAnsi="宋体" w:cs="宋体"/>
                <w:bCs/>
                <w:sz w:val="22"/>
              </w:rPr>
            </w:pPr>
          </w:p>
        </w:tc>
        <w:tc>
          <w:tcPr>
            <w:tcW w:w="791" w:type="pct"/>
          </w:tcPr>
          <w:p>
            <w:pPr>
              <w:spacing w:line="360" w:lineRule="exact"/>
              <w:rPr>
                <w:rFonts w:ascii="宋体" w:hAnsi="宋体" w:cs="宋体"/>
                <w:bCs/>
                <w:sz w:val="22"/>
              </w:rPr>
            </w:pPr>
          </w:p>
        </w:tc>
        <w:tc>
          <w:tcPr>
            <w:tcW w:w="562" w:type="pct"/>
          </w:tcPr>
          <w:p>
            <w:pPr>
              <w:spacing w:line="360" w:lineRule="exact"/>
              <w:rPr>
                <w:rFonts w:ascii="宋体" w:hAnsi="宋体" w:cs="宋体"/>
                <w:bCs/>
                <w:sz w:val="22"/>
              </w:rPr>
            </w:pPr>
          </w:p>
        </w:tc>
        <w:tc>
          <w:tcPr>
            <w:tcW w:w="535" w:type="pct"/>
          </w:tcPr>
          <w:p>
            <w:pPr>
              <w:spacing w:line="360" w:lineRule="exact"/>
              <w:rPr>
                <w:rFonts w:ascii="宋体" w:hAnsi="宋体" w:cs="宋体"/>
                <w:bCs/>
                <w:sz w:val="22"/>
              </w:rPr>
            </w:pPr>
          </w:p>
        </w:tc>
        <w:tc>
          <w:tcPr>
            <w:tcW w:w="513" w:type="pct"/>
          </w:tcPr>
          <w:p>
            <w:pPr>
              <w:spacing w:line="360" w:lineRule="exact"/>
              <w:rPr>
                <w:rFonts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continue"/>
          </w:tcPr>
          <w:p>
            <w:pPr>
              <w:spacing w:line="360" w:lineRule="exact"/>
              <w:rPr>
                <w:rFonts w:ascii="宋体" w:hAnsi="宋体" w:cs="宋体"/>
                <w:bCs/>
                <w:sz w:val="22"/>
              </w:rPr>
            </w:pPr>
          </w:p>
        </w:tc>
        <w:tc>
          <w:tcPr>
            <w:tcW w:w="457" w:type="pct"/>
          </w:tcPr>
          <w:p>
            <w:pPr>
              <w:spacing w:line="360" w:lineRule="exact"/>
              <w:rPr>
                <w:rFonts w:ascii="宋体" w:hAnsi="宋体" w:cs="宋体"/>
                <w:bCs/>
                <w:sz w:val="22"/>
              </w:rPr>
            </w:pPr>
          </w:p>
        </w:tc>
        <w:tc>
          <w:tcPr>
            <w:tcW w:w="492" w:type="pct"/>
          </w:tcPr>
          <w:p>
            <w:pPr>
              <w:spacing w:line="360" w:lineRule="exact"/>
              <w:rPr>
                <w:rFonts w:ascii="宋体" w:hAnsi="宋体" w:cs="宋体"/>
                <w:bCs/>
                <w:sz w:val="22"/>
              </w:rPr>
            </w:pPr>
          </w:p>
        </w:tc>
        <w:tc>
          <w:tcPr>
            <w:tcW w:w="501" w:type="pct"/>
          </w:tcPr>
          <w:p>
            <w:pPr>
              <w:spacing w:line="360" w:lineRule="exact"/>
              <w:rPr>
                <w:rFonts w:ascii="宋体" w:hAnsi="宋体" w:cs="宋体"/>
                <w:bCs/>
                <w:sz w:val="22"/>
              </w:rPr>
            </w:pPr>
          </w:p>
        </w:tc>
        <w:tc>
          <w:tcPr>
            <w:tcW w:w="491" w:type="pct"/>
          </w:tcPr>
          <w:p>
            <w:pPr>
              <w:spacing w:line="360" w:lineRule="exact"/>
              <w:rPr>
                <w:rFonts w:ascii="宋体" w:hAnsi="宋体" w:cs="宋体"/>
                <w:bCs/>
                <w:sz w:val="22"/>
              </w:rPr>
            </w:pPr>
          </w:p>
        </w:tc>
        <w:tc>
          <w:tcPr>
            <w:tcW w:w="791" w:type="pct"/>
          </w:tcPr>
          <w:p>
            <w:pPr>
              <w:spacing w:line="360" w:lineRule="exact"/>
              <w:rPr>
                <w:rFonts w:ascii="宋体" w:hAnsi="宋体" w:cs="宋体"/>
                <w:bCs/>
                <w:sz w:val="22"/>
              </w:rPr>
            </w:pPr>
          </w:p>
        </w:tc>
        <w:tc>
          <w:tcPr>
            <w:tcW w:w="562" w:type="pct"/>
          </w:tcPr>
          <w:p>
            <w:pPr>
              <w:spacing w:line="360" w:lineRule="exact"/>
              <w:rPr>
                <w:rFonts w:ascii="宋体" w:hAnsi="宋体" w:cs="宋体"/>
                <w:bCs/>
                <w:sz w:val="22"/>
              </w:rPr>
            </w:pPr>
          </w:p>
        </w:tc>
        <w:tc>
          <w:tcPr>
            <w:tcW w:w="535" w:type="pct"/>
          </w:tcPr>
          <w:p>
            <w:pPr>
              <w:spacing w:line="360" w:lineRule="exact"/>
              <w:rPr>
                <w:rFonts w:ascii="宋体" w:hAnsi="宋体" w:cs="宋体"/>
                <w:bCs/>
                <w:sz w:val="22"/>
              </w:rPr>
            </w:pPr>
          </w:p>
        </w:tc>
        <w:tc>
          <w:tcPr>
            <w:tcW w:w="513" w:type="pct"/>
          </w:tcPr>
          <w:p>
            <w:pPr>
              <w:spacing w:line="360" w:lineRule="exact"/>
              <w:rPr>
                <w:rFonts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continue"/>
          </w:tcPr>
          <w:p>
            <w:pPr>
              <w:spacing w:line="360" w:lineRule="exact"/>
              <w:rPr>
                <w:rFonts w:ascii="宋体" w:hAnsi="宋体" w:cs="宋体"/>
                <w:bCs/>
                <w:sz w:val="22"/>
              </w:rPr>
            </w:pPr>
          </w:p>
        </w:tc>
        <w:tc>
          <w:tcPr>
            <w:tcW w:w="457" w:type="pct"/>
          </w:tcPr>
          <w:p>
            <w:pPr>
              <w:spacing w:line="360" w:lineRule="exact"/>
              <w:rPr>
                <w:rFonts w:ascii="宋体" w:hAnsi="宋体" w:cs="宋体"/>
                <w:bCs/>
                <w:sz w:val="22"/>
              </w:rPr>
            </w:pPr>
          </w:p>
        </w:tc>
        <w:tc>
          <w:tcPr>
            <w:tcW w:w="492" w:type="pct"/>
          </w:tcPr>
          <w:p>
            <w:pPr>
              <w:spacing w:line="360" w:lineRule="exact"/>
              <w:rPr>
                <w:rFonts w:ascii="宋体" w:hAnsi="宋体" w:cs="宋体"/>
                <w:bCs/>
                <w:sz w:val="22"/>
              </w:rPr>
            </w:pPr>
          </w:p>
        </w:tc>
        <w:tc>
          <w:tcPr>
            <w:tcW w:w="501" w:type="pct"/>
          </w:tcPr>
          <w:p>
            <w:pPr>
              <w:spacing w:line="360" w:lineRule="exact"/>
              <w:rPr>
                <w:rFonts w:ascii="宋体" w:hAnsi="宋体" w:cs="宋体"/>
                <w:bCs/>
                <w:sz w:val="22"/>
              </w:rPr>
            </w:pPr>
          </w:p>
        </w:tc>
        <w:tc>
          <w:tcPr>
            <w:tcW w:w="491" w:type="pct"/>
          </w:tcPr>
          <w:p>
            <w:pPr>
              <w:spacing w:line="360" w:lineRule="exact"/>
              <w:rPr>
                <w:rFonts w:ascii="宋体" w:hAnsi="宋体" w:cs="宋体"/>
                <w:bCs/>
                <w:sz w:val="22"/>
              </w:rPr>
            </w:pPr>
          </w:p>
        </w:tc>
        <w:tc>
          <w:tcPr>
            <w:tcW w:w="791" w:type="pct"/>
          </w:tcPr>
          <w:p>
            <w:pPr>
              <w:spacing w:line="360" w:lineRule="exact"/>
              <w:rPr>
                <w:rFonts w:ascii="宋体" w:hAnsi="宋体" w:cs="宋体"/>
                <w:bCs/>
                <w:sz w:val="22"/>
              </w:rPr>
            </w:pPr>
          </w:p>
        </w:tc>
        <w:tc>
          <w:tcPr>
            <w:tcW w:w="562" w:type="pct"/>
          </w:tcPr>
          <w:p>
            <w:pPr>
              <w:spacing w:line="360" w:lineRule="exact"/>
              <w:rPr>
                <w:rFonts w:ascii="宋体" w:hAnsi="宋体" w:cs="宋体"/>
                <w:bCs/>
                <w:sz w:val="22"/>
              </w:rPr>
            </w:pPr>
          </w:p>
        </w:tc>
        <w:tc>
          <w:tcPr>
            <w:tcW w:w="535" w:type="pct"/>
          </w:tcPr>
          <w:p>
            <w:pPr>
              <w:spacing w:line="360" w:lineRule="exact"/>
              <w:rPr>
                <w:rFonts w:ascii="宋体" w:hAnsi="宋体" w:cs="宋体"/>
                <w:bCs/>
                <w:sz w:val="22"/>
              </w:rPr>
            </w:pPr>
          </w:p>
        </w:tc>
        <w:tc>
          <w:tcPr>
            <w:tcW w:w="513" w:type="pct"/>
          </w:tcPr>
          <w:p>
            <w:pPr>
              <w:spacing w:line="360" w:lineRule="exact"/>
              <w:rPr>
                <w:rFonts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continue"/>
          </w:tcPr>
          <w:p>
            <w:pPr>
              <w:spacing w:line="360" w:lineRule="exact"/>
              <w:rPr>
                <w:rFonts w:ascii="宋体" w:hAnsi="宋体" w:cs="宋体"/>
                <w:bCs/>
                <w:sz w:val="22"/>
              </w:rPr>
            </w:pPr>
          </w:p>
        </w:tc>
        <w:tc>
          <w:tcPr>
            <w:tcW w:w="457" w:type="pct"/>
          </w:tcPr>
          <w:p>
            <w:pPr>
              <w:spacing w:line="360" w:lineRule="exact"/>
              <w:rPr>
                <w:rFonts w:ascii="宋体" w:hAnsi="宋体" w:cs="宋体"/>
                <w:bCs/>
                <w:sz w:val="22"/>
              </w:rPr>
            </w:pPr>
          </w:p>
        </w:tc>
        <w:tc>
          <w:tcPr>
            <w:tcW w:w="492" w:type="pct"/>
          </w:tcPr>
          <w:p>
            <w:pPr>
              <w:spacing w:line="360" w:lineRule="exact"/>
              <w:rPr>
                <w:rFonts w:ascii="宋体" w:hAnsi="宋体" w:cs="宋体"/>
                <w:bCs/>
                <w:sz w:val="22"/>
              </w:rPr>
            </w:pPr>
          </w:p>
        </w:tc>
        <w:tc>
          <w:tcPr>
            <w:tcW w:w="501" w:type="pct"/>
          </w:tcPr>
          <w:p>
            <w:pPr>
              <w:spacing w:line="360" w:lineRule="exact"/>
              <w:rPr>
                <w:rFonts w:ascii="宋体" w:hAnsi="宋体" w:cs="宋体"/>
                <w:bCs/>
                <w:sz w:val="22"/>
              </w:rPr>
            </w:pPr>
          </w:p>
        </w:tc>
        <w:tc>
          <w:tcPr>
            <w:tcW w:w="491" w:type="pct"/>
          </w:tcPr>
          <w:p>
            <w:pPr>
              <w:spacing w:line="360" w:lineRule="exact"/>
              <w:rPr>
                <w:rFonts w:ascii="宋体" w:hAnsi="宋体" w:cs="宋体"/>
                <w:bCs/>
                <w:sz w:val="22"/>
              </w:rPr>
            </w:pPr>
          </w:p>
        </w:tc>
        <w:tc>
          <w:tcPr>
            <w:tcW w:w="791" w:type="pct"/>
          </w:tcPr>
          <w:p>
            <w:pPr>
              <w:spacing w:line="360" w:lineRule="exact"/>
              <w:rPr>
                <w:rFonts w:ascii="宋体" w:hAnsi="宋体" w:cs="宋体"/>
                <w:bCs/>
                <w:sz w:val="22"/>
              </w:rPr>
            </w:pPr>
          </w:p>
        </w:tc>
        <w:tc>
          <w:tcPr>
            <w:tcW w:w="562" w:type="pct"/>
          </w:tcPr>
          <w:p>
            <w:pPr>
              <w:spacing w:line="360" w:lineRule="exact"/>
              <w:rPr>
                <w:rFonts w:ascii="宋体" w:hAnsi="宋体" w:cs="宋体"/>
                <w:bCs/>
                <w:sz w:val="22"/>
              </w:rPr>
            </w:pPr>
          </w:p>
        </w:tc>
        <w:tc>
          <w:tcPr>
            <w:tcW w:w="535" w:type="pct"/>
          </w:tcPr>
          <w:p>
            <w:pPr>
              <w:spacing w:line="360" w:lineRule="exact"/>
              <w:rPr>
                <w:rFonts w:ascii="宋体" w:hAnsi="宋体" w:cs="宋体"/>
                <w:bCs/>
                <w:sz w:val="22"/>
              </w:rPr>
            </w:pPr>
          </w:p>
        </w:tc>
        <w:tc>
          <w:tcPr>
            <w:tcW w:w="513" w:type="pct"/>
          </w:tcPr>
          <w:p>
            <w:pPr>
              <w:spacing w:line="360" w:lineRule="exact"/>
              <w:rPr>
                <w:rFonts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continue"/>
          </w:tcPr>
          <w:p>
            <w:pPr>
              <w:spacing w:line="360" w:lineRule="exact"/>
              <w:rPr>
                <w:rFonts w:ascii="宋体" w:hAnsi="宋体" w:cs="宋体"/>
                <w:bCs/>
                <w:sz w:val="22"/>
              </w:rPr>
            </w:pPr>
          </w:p>
        </w:tc>
        <w:tc>
          <w:tcPr>
            <w:tcW w:w="457" w:type="pct"/>
          </w:tcPr>
          <w:p>
            <w:pPr>
              <w:spacing w:line="360" w:lineRule="exact"/>
              <w:rPr>
                <w:rFonts w:ascii="宋体" w:hAnsi="宋体" w:cs="宋体"/>
                <w:bCs/>
                <w:sz w:val="22"/>
              </w:rPr>
            </w:pPr>
          </w:p>
        </w:tc>
        <w:tc>
          <w:tcPr>
            <w:tcW w:w="492" w:type="pct"/>
          </w:tcPr>
          <w:p>
            <w:pPr>
              <w:spacing w:line="360" w:lineRule="exact"/>
              <w:rPr>
                <w:rFonts w:ascii="宋体" w:hAnsi="宋体" w:cs="宋体"/>
                <w:bCs/>
                <w:sz w:val="22"/>
              </w:rPr>
            </w:pPr>
          </w:p>
        </w:tc>
        <w:tc>
          <w:tcPr>
            <w:tcW w:w="501" w:type="pct"/>
          </w:tcPr>
          <w:p>
            <w:pPr>
              <w:spacing w:line="360" w:lineRule="exact"/>
              <w:rPr>
                <w:rFonts w:ascii="宋体" w:hAnsi="宋体" w:cs="宋体"/>
                <w:bCs/>
                <w:sz w:val="22"/>
              </w:rPr>
            </w:pPr>
          </w:p>
        </w:tc>
        <w:tc>
          <w:tcPr>
            <w:tcW w:w="491" w:type="pct"/>
          </w:tcPr>
          <w:p>
            <w:pPr>
              <w:spacing w:line="360" w:lineRule="exact"/>
              <w:rPr>
                <w:rFonts w:ascii="宋体" w:hAnsi="宋体" w:cs="宋体"/>
                <w:bCs/>
                <w:sz w:val="22"/>
              </w:rPr>
            </w:pPr>
          </w:p>
        </w:tc>
        <w:tc>
          <w:tcPr>
            <w:tcW w:w="791" w:type="pct"/>
          </w:tcPr>
          <w:p>
            <w:pPr>
              <w:spacing w:line="360" w:lineRule="exact"/>
              <w:rPr>
                <w:rFonts w:ascii="宋体" w:hAnsi="宋体" w:cs="宋体"/>
                <w:bCs/>
                <w:sz w:val="22"/>
              </w:rPr>
            </w:pPr>
          </w:p>
        </w:tc>
        <w:tc>
          <w:tcPr>
            <w:tcW w:w="562" w:type="pct"/>
          </w:tcPr>
          <w:p>
            <w:pPr>
              <w:spacing w:line="360" w:lineRule="exact"/>
              <w:rPr>
                <w:rFonts w:ascii="宋体" w:hAnsi="宋体" w:cs="宋体"/>
                <w:bCs/>
                <w:sz w:val="22"/>
              </w:rPr>
            </w:pPr>
          </w:p>
        </w:tc>
        <w:tc>
          <w:tcPr>
            <w:tcW w:w="535" w:type="pct"/>
          </w:tcPr>
          <w:p>
            <w:pPr>
              <w:spacing w:line="360" w:lineRule="exact"/>
              <w:rPr>
                <w:rFonts w:ascii="宋体" w:hAnsi="宋体" w:cs="宋体"/>
                <w:bCs/>
                <w:sz w:val="22"/>
              </w:rPr>
            </w:pPr>
          </w:p>
        </w:tc>
        <w:tc>
          <w:tcPr>
            <w:tcW w:w="513" w:type="pct"/>
          </w:tcPr>
          <w:p>
            <w:pPr>
              <w:spacing w:line="360" w:lineRule="exact"/>
              <w:rPr>
                <w:rFonts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continue"/>
          </w:tcPr>
          <w:p>
            <w:pPr>
              <w:spacing w:line="360" w:lineRule="exact"/>
              <w:rPr>
                <w:rFonts w:ascii="宋体" w:hAnsi="宋体" w:cs="宋体"/>
                <w:bCs/>
                <w:sz w:val="22"/>
              </w:rPr>
            </w:pPr>
          </w:p>
        </w:tc>
        <w:tc>
          <w:tcPr>
            <w:tcW w:w="457" w:type="pct"/>
          </w:tcPr>
          <w:p>
            <w:pPr>
              <w:spacing w:line="360" w:lineRule="exact"/>
              <w:rPr>
                <w:rFonts w:ascii="宋体" w:hAnsi="宋体" w:cs="宋体"/>
                <w:bCs/>
                <w:sz w:val="22"/>
              </w:rPr>
            </w:pPr>
          </w:p>
        </w:tc>
        <w:tc>
          <w:tcPr>
            <w:tcW w:w="492" w:type="pct"/>
          </w:tcPr>
          <w:p>
            <w:pPr>
              <w:spacing w:line="360" w:lineRule="exact"/>
              <w:rPr>
                <w:rFonts w:ascii="宋体" w:hAnsi="宋体" w:cs="宋体"/>
                <w:bCs/>
                <w:sz w:val="22"/>
              </w:rPr>
            </w:pPr>
          </w:p>
        </w:tc>
        <w:tc>
          <w:tcPr>
            <w:tcW w:w="501" w:type="pct"/>
          </w:tcPr>
          <w:p>
            <w:pPr>
              <w:spacing w:line="360" w:lineRule="exact"/>
              <w:rPr>
                <w:rFonts w:ascii="宋体" w:hAnsi="宋体" w:cs="宋体"/>
                <w:bCs/>
                <w:sz w:val="22"/>
              </w:rPr>
            </w:pPr>
          </w:p>
        </w:tc>
        <w:tc>
          <w:tcPr>
            <w:tcW w:w="491" w:type="pct"/>
          </w:tcPr>
          <w:p>
            <w:pPr>
              <w:spacing w:line="360" w:lineRule="exact"/>
              <w:rPr>
                <w:rFonts w:ascii="宋体" w:hAnsi="宋体" w:cs="宋体"/>
                <w:bCs/>
                <w:sz w:val="22"/>
              </w:rPr>
            </w:pPr>
          </w:p>
        </w:tc>
        <w:tc>
          <w:tcPr>
            <w:tcW w:w="791" w:type="pct"/>
          </w:tcPr>
          <w:p>
            <w:pPr>
              <w:spacing w:line="360" w:lineRule="exact"/>
              <w:rPr>
                <w:rFonts w:ascii="宋体" w:hAnsi="宋体" w:cs="宋体"/>
                <w:bCs/>
                <w:sz w:val="22"/>
              </w:rPr>
            </w:pPr>
          </w:p>
        </w:tc>
        <w:tc>
          <w:tcPr>
            <w:tcW w:w="562" w:type="pct"/>
          </w:tcPr>
          <w:p>
            <w:pPr>
              <w:spacing w:line="360" w:lineRule="exact"/>
              <w:rPr>
                <w:rFonts w:ascii="宋体" w:hAnsi="宋体" w:cs="宋体"/>
                <w:bCs/>
                <w:sz w:val="22"/>
              </w:rPr>
            </w:pPr>
          </w:p>
        </w:tc>
        <w:tc>
          <w:tcPr>
            <w:tcW w:w="535" w:type="pct"/>
          </w:tcPr>
          <w:p>
            <w:pPr>
              <w:spacing w:line="360" w:lineRule="exact"/>
              <w:rPr>
                <w:rFonts w:ascii="宋体" w:hAnsi="宋体" w:cs="宋体"/>
                <w:bCs/>
                <w:sz w:val="22"/>
              </w:rPr>
            </w:pPr>
          </w:p>
        </w:tc>
        <w:tc>
          <w:tcPr>
            <w:tcW w:w="513" w:type="pct"/>
          </w:tcPr>
          <w:p>
            <w:pPr>
              <w:spacing w:line="360" w:lineRule="exact"/>
              <w:rPr>
                <w:rFonts w:ascii="宋体" w:hAnsi="宋体" w:cs="宋体"/>
                <w:bCs/>
                <w:sz w:val="22"/>
              </w:rPr>
            </w:pPr>
          </w:p>
        </w:tc>
      </w:tr>
    </w:tbl>
    <w:p>
      <w:pPr>
        <w:spacing w:line="360" w:lineRule="auto"/>
        <w:ind w:right="105" w:rightChars="50"/>
        <w:rPr>
          <w:rFonts w:ascii="宋体" w:hAnsi="宋体" w:cs="宋体"/>
          <w:kern w:val="0"/>
          <w:sz w:val="22"/>
        </w:rPr>
      </w:pPr>
      <w:r>
        <w:rPr>
          <w:rFonts w:hint="eastAsia" w:ascii="宋体" w:hAnsi="宋体" w:cs="宋体"/>
          <w:kern w:val="0"/>
          <w:sz w:val="22"/>
        </w:rPr>
        <w:t xml:space="preserve">   </w:t>
      </w:r>
    </w:p>
    <w:p>
      <w:pPr>
        <w:spacing w:line="360" w:lineRule="auto"/>
        <w:ind w:right="105" w:rightChars="50" w:firstLine="327" w:firstLineChars="149"/>
        <w:rPr>
          <w:rFonts w:ascii="宋体" w:hAnsi="宋体" w:cs="宋体"/>
          <w:sz w:val="22"/>
        </w:rPr>
      </w:pPr>
      <w:r>
        <w:rPr>
          <w:rFonts w:hint="eastAsia" w:ascii="宋体" w:hAnsi="宋体" w:cs="宋体"/>
          <w:sz w:val="22"/>
        </w:rPr>
        <w:t>注：本表可根据实际情况自行调整。</w:t>
      </w:r>
    </w:p>
    <w:p>
      <w:pPr>
        <w:spacing w:line="360" w:lineRule="auto"/>
        <w:ind w:firstLine="660" w:firstLineChars="300"/>
        <w:rPr>
          <w:rFonts w:ascii="宋体" w:hAnsi="宋体"/>
          <w:sz w:val="22"/>
        </w:rPr>
      </w:pPr>
      <w:r>
        <w:rPr>
          <w:rFonts w:hint="eastAsia" w:ascii="宋体" w:hAnsi="宋体"/>
          <w:sz w:val="22"/>
        </w:rPr>
        <w:t>须按照要求提供上述人员相关证明文件。</w:t>
      </w:r>
    </w:p>
    <w:p>
      <w:pPr>
        <w:spacing w:line="360" w:lineRule="auto"/>
        <w:ind w:left="420" w:leftChars="200"/>
        <w:rPr>
          <w:rFonts w:ascii="宋体" w:hAnsi="宋体" w:cs="宋体"/>
          <w:sz w:val="22"/>
        </w:rPr>
      </w:pPr>
      <w:r>
        <w:rPr>
          <w:rFonts w:hint="eastAsia" w:ascii="宋体" w:hAnsi="宋体" w:cs="宋体"/>
          <w:sz w:val="22"/>
        </w:rPr>
        <w:t xml:space="preserve">             </w:t>
      </w:r>
    </w:p>
    <w:p>
      <w:pPr>
        <w:spacing w:line="360" w:lineRule="auto"/>
        <w:ind w:left="420" w:leftChars="200"/>
        <w:rPr>
          <w:rFonts w:ascii="宋体" w:hAnsi="宋体" w:cs="宋体"/>
          <w:sz w:val="22"/>
        </w:rPr>
      </w:pPr>
      <w:r>
        <w:rPr>
          <w:rFonts w:hint="eastAsia" w:ascii="宋体" w:hAnsi="宋体" w:cs="宋体"/>
          <w:sz w:val="22"/>
        </w:rPr>
        <w:t xml:space="preserve">投标人名称（盖章）：                        </w:t>
      </w:r>
    </w:p>
    <w:p>
      <w:pPr>
        <w:spacing w:line="360" w:lineRule="auto"/>
        <w:ind w:left="420" w:leftChars="200"/>
        <w:rPr>
          <w:rFonts w:ascii="宋体" w:hAnsi="宋体" w:cs="宋体"/>
          <w:sz w:val="22"/>
        </w:rPr>
      </w:pPr>
      <w:r>
        <w:rPr>
          <w:rFonts w:hint="eastAsia" w:ascii="宋体" w:hAnsi="宋体" w:cs="宋体"/>
          <w:sz w:val="22"/>
        </w:rPr>
        <w:t>日期：   年   月   日</w:t>
      </w:r>
    </w:p>
    <w:p>
      <w:pPr>
        <w:adjustRightInd w:val="0"/>
        <w:snapToGrid w:val="0"/>
        <w:spacing w:line="360" w:lineRule="exact"/>
        <w:jc w:val="center"/>
        <w:rPr>
          <w:b/>
          <w:bCs/>
          <w:sz w:val="32"/>
          <w:szCs w:val="32"/>
        </w:rPr>
      </w:pPr>
      <w:r>
        <w:rPr>
          <w:b/>
          <w:bCs/>
          <w:sz w:val="32"/>
          <w:szCs w:val="32"/>
        </w:rPr>
        <w:br w:type="page"/>
      </w:r>
    </w:p>
    <w:p>
      <w:pPr>
        <w:numPr>
          <w:ilvl w:val="0"/>
          <w:numId w:val="6"/>
        </w:numPr>
        <w:jc w:val="center"/>
        <w:outlineLvl w:val="2"/>
        <w:rPr>
          <w:b/>
          <w:bCs/>
          <w:sz w:val="32"/>
          <w:szCs w:val="32"/>
        </w:rPr>
      </w:pPr>
      <w:r>
        <w:rPr>
          <w:b/>
          <w:bCs/>
          <w:sz w:val="32"/>
          <w:szCs w:val="32"/>
        </w:rPr>
        <w:t>项目</w:t>
      </w:r>
      <w:r>
        <w:rPr>
          <w:rFonts w:hint="eastAsia"/>
          <w:b/>
          <w:bCs/>
          <w:kern w:val="0"/>
          <w:sz w:val="32"/>
          <w:szCs w:val="32"/>
        </w:rPr>
        <w:t>实施</w:t>
      </w:r>
      <w:r>
        <w:rPr>
          <w:b/>
          <w:bCs/>
          <w:sz w:val="32"/>
          <w:szCs w:val="32"/>
        </w:rPr>
        <w:t>方案</w:t>
      </w:r>
    </w:p>
    <w:p>
      <w:pPr>
        <w:adjustRightInd w:val="0"/>
        <w:snapToGrid w:val="0"/>
        <w:spacing w:line="360" w:lineRule="exact"/>
        <w:jc w:val="center"/>
        <w:rPr>
          <w:b/>
          <w:bCs/>
          <w:sz w:val="32"/>
          <w:szCs w:val="32"/>
        </w:rPr>
      </w:pPr>
    </w:p>
    <w:p>
      <w:pPr>
        <w:spacing w:line="480" w:lineRule="auto"/>
        <w:rPr>
          <w:sz w:val="22"/>
        </w:rPr>
      </w:pPr>
      <w:r>
        <w:rPr>
          <w:rFonts w:hint="eastAsia"/>
          <w:sz w:val="22"/>
        </w:rPr>
        <w:t>主要内容应包括（可根据项目实际情况适当调整内容）</w:t>
      </w:r>
    </w:p>
    <w:p>
      <w:pPr>
        <w:spacing w:line="480" w:lineRule="auto"/>
        <w:rPr>
          <w:sz w:val="22"/>
        </w:rPr>
      </w:pPr>
      <w:r>
        <w:rPr>
          <w:rFonts w:hint="eastAsia"/>
          <w:sz w:val="22"/>
        </w:rPr>
        <w:t>1.项目完工期/交货期、实施进度表；</w:t>
      </w:r>
    </w:p>
    <w:p>
      <w:pPr>
        <w:spacing w:line="480" w:lineRule="auto"/>
        <w:rPr>
          <w:sz w:val="22"/>
        </w:rPr>
      </w:pPr>
      <w:r>
        <w:rPr>
          <w:rFonts w:hint="eastAsia"/>
          <w:sz w:val="22"/>
        </w:rPr>
        <w:t>2.组织设计方案；</w:t>
      </w:r>
    </w:p>
    <w:p>
      <w:pPr>
        <w:spacing w:line="480" w:lineRule="auto"/>
        <w:rPr>
          <w:sz w:val="22"/>
        </w:rPr>
      </w:pPr>
      <w:r>
        <w:rPr>
          <w:rFonts w:hint="eastAsia"/>
          <w:sz w:val="22"/>
        </w:rPr>
        <w:t>3.质量保证措施；</w:t>
      </w:r>
    </w:p>
    <w:p>
      <w:pPr>
        <w:spacing w:line="480" w:lineRule="auto"/>
        <w:rPr>
          <w:sz w:val="22"/>
        </w:rPr>
      </w:pPr>
      <w:r>
        <w:rPr>
          <w:rFonts w:hint="eastAsia"/>
          <w:sz w:val="22"/>
        </w:rPr>
        <w:t>4.相关配套措施。</w:t>
      </w:r>
    </w:p>
    <w:p>
      <w:pPr>
        <w:numPr>
          <w:ilvl w:val="0"/>
          <w:numId w:val="6"/>
        </w:numPr>
        <w:jc w:val="center"/>
        <w:outlineLvl w:val="2"/>
        <w:rPr>
          <w:b/>
          <w:bCs/>
          <w:sz w:val="32"/>
          <w:szCs w:val="32"/>
        </w:rPr>
      </w:pPr>
      <w:r>
        <w:rPr>
          <w:bCs/>
          <w:sz w:val="22"/>
        </w:rPr>
        <w:br w:type="page"/>
      </w:r>
      <w:r>
        <w:rPr>
          <w:rFonts w:hint="eastAsia"/>
          <w:b/>
          <w:bCs/>
          <w:kern w:val="0"/>
          <w:sz w:val="32"/>
          <w:szCs w:val="32"/>
        </w:rPr>
        <w:t>售后服务</w:t>
      </w:r>
      <w:r>
        <w:rPr>
          <w:b/>
          <w:bCs/>
          <w:sz w:val="32"/>
          <w:szCs w:val="32"/>
        </w:rPr>
        <w:t>方案</w:t>
      </w:r>
    </w:p>
    <w:p>
      <w:pPr>
        <w:adjustRightInd w:val="0"/>
        <w:snapToGrid w:val="0"/>
        <w:spacing w:line="360" w:lineRule="exact"/>
        <w:jc w:val="center"/>
        <w:rPr>
          <w:b/>
          <w:bCs/>
          <w:sz w:val="32"/>
          <w:szCs w:val="32"/>
        </w:rPr>
      </w:pPr>
    </w:p>
    <w:p>
      <w:pPr>
        <w:rPr>
          <w:rFonts w:ascii="宋体" w:hAnsi="宋体" w:cs="宋体"/>
          <w:sz w:val="22"/>
        </w:rPr>
      </w:pPr>
      <w:r>
        <w:rPr>
          <w:rFonts w:hint="eastAsia" w:ascii="宋体" w:hAnsi="宋体" w:cs="宋体"/>
          <w:sz w:val="22"/>
        </w:rPr>
        <w:t>主要内容应包括(根据项目实际情况适当调整内容)：</w:t>
      </w:r>
    </w:p>
    <w:p>
      <w:pPr>
        <w:numPr>
          <w:ilvl w:val="0"/>
          <w:numId w:val="10"/>
        </w:numPr>
        <w:spacing w:before="240" w:line="360" w:lineRule="auto"/>
        <w:ind w:left="440" w:hanging="440" w:hangingChars="200"/>
        <w:rPr>
          <w:rFonts w:ascii="宋体" w:hAnsi="宋体"/>
          <w:sz w:val="22"/>
        </w:rPr>
      </w:pPr>
      <w:r>
        <w:rPr>
          <w:rFonts w:hint="eastAsia" w:ascii="宋体" w:hAnsi="宋体"/>
          <w:sz w:val="22"/>
        </w:rPr>
        <w:t>售后服务单位简介</w:t>
      </w:r>
      <w:r>
        <w:rPr>
          <w:rFonts w:ascii="宋体" w:hAnsi="宋体"/>
          <w:sz w:val="22"/>
        </w:rPr>
        <w:t>；</w:t>
      </w:r>
    </w:p>
    <w:p>
      <w:pPr>
        <w:numPr>
          <w:ilvl w:val="0"/>
          <w:numId w:val="10"/>
        </w:numPr>
        <w:spacing w:before="240" w:line="360" w:lineRule="auto"/>
        <w:ind w:left="440" w:hanging="440" w:hangingChars="200"/>
        <w:rPr>
          <w:rFonts w:ascii="宋体" w:hAnsi="宋体"/>
          <w:sz w:val="22"/>
        </w:rPr>
      </w:pPr>
      <w:r>
        <w:rPr>
          <w:rFonts w:ascii="宋体" w:hAnsi="宋体"/>
          <w:sz w:val="22"/>
        </w:rPr>
        <w:t>维修技术人员情况；</w:t>
      </w:r>
    </w:p>
    <w:p>
      <w:pPr>
        <w:numPr>
          <w:ilvl w:val="0"/>
          <w:numId w:val="10"/>
        </w:numPr>
        <w:spacing w:before="240" w:line="360" w:lineRule="auto"/>
        <w:ind w:left="440" w:hanging="440" w:hangingChars="200"/>
        <w:rPr>
          <w:rFonts w:ascii="宋体" w:hAnsi="宋体"/>
          <w:sz w:val="22"/>
        </w:rPr>
      </w:pPr>
      <w:r>
        <w:rPr>
          <w:rFonts w:hint="eastAsia" w:ascii="宋体" w:hAnsi="宋体"/>
          <w:sz w:val="22"/>
        </w:rPr>
        <w:t>免费保修期；</w:t>
      </w:r>
    </w:p>
    <w:p>
      <w:pPr>
        <w:numPr>
          <w:ilvl w:val="0"/>
          <w:numId w:val="10"/>
        </w:numPr>
        <w:spacing w:before="240" w:line="360" w:lineRule="auto"/>
        <w:ind w:left="440" w:hanging="440" w:hangingChars="200"/>
        <w:rPr>
          <w:rFonts w:ascii="宋体" w:hAnsi="宋体"/>
          <w:sz w:val="22"/>
        </w:rPr>
      </w:pPr>
      <w:r>
        <w:rPr>
          <w:rFonts w:hint="eastAsia" w:ascii="宋体" w:hAnsi="宋体"/>
          <w:sz w:val="22"/>
        </w:rPr>
        <w:t>故障</w:t>
      </w:r>
      <w:r>
        <w:rPr>
          <w:rFonts w:ascii="宋体" w:hAnsi="宋体"/>
          <w:sz w:val="22"/>
        </w:rPr>
        <w:t>或技术支持响应时间；</w:t>
      </w:r>
    </w:p>
    <w:p>
      <w:pPr>
        <w:numPr>
          <w:ilvl w:val="0"/>
          <w:numId w:val="10"/>
        </w:numPr>
        <w:spacing w:before="240" w:line="360" w:lineRule="auto"/>
        <w:ind w:left="440" w:hanging="440" w:hangingChars="200"/>
        <w:rPr>
          <w:rFonts w:ascii="宋体" w:hAnsi="宋体"/>
          <w:sz w:val="22"/>
        </w:rPr>
      </w:pPr>
      <w:r>
        <w:rPr>
          <w:rFonts w:ascii="宋体" w:hAnsi="宋体"/>
          <w:sz w:val="22"/>
        </w:rPr>
        <w:t>主要零配件价格；</w:t>
      </w:r>
    </w:p>
    <w:p>
      <w:pPr>
        <w:numPr>
          <w:ilvl w:val="0"/>
          <w:numId w:val="10"/>
        </w:numPr>
        <w:spacing w:before="240" w:line="360" w:lineRule="auto"/>
        <w:ind w:left="440" w:hanging="440" w:hangingChars="200"/>
        <w:rPr>
          <w:rFonts w:ascii="宋体" w:hAnsi="宋体"/>
          <w:sz w:val="22"/>
        </w:rPr>
      </w:pPr>
      <w:r>
        <w:rPr>
          <w:rFonts w:hint="eastAsia" w:ascii="宋体" w:hAnsi="宋体"/>
          <w:sz w:val="22"/>
        </w:rPr>
        <w:t>保修期外</w:t>
      </w:r>
      <w:r>
        <w:rPr>
          <w:rFonts w:ascii="宋体" w:hAnsi="宋体"/>
          <w:sz w:val="22"/>
        </w:rPr>
        <w:t>维修服务收费标准；</w:t>
      </w:r>
    </w:p>
    <w:p>
      <w:pPr>
        <w:numPr>
          <w:ilvl w:val="0"/>
          <w:numId w:val="10"/>
        </w:numPr>
        <w:spacing w:before="240" w:line="360" w:lineRule="auto"/>
        <w:ind w:left="440" w:hanging="440" w:hangingChars="200"/>
        <w:rPr>
          <w:rFonts w:ascii="宋体" w:hAnsi="宋体"/>
          <w:sz w:val="22"/>
        </w:rPr>
      </w:pPr>
      <w:r>
        <w:rPr>
          <w:rFonts w:hint="eastAsia" w:ascii="宋体" w:hAnsi="宋体"/>
          <w:sz w:val="22"/>
        </w:rPr>
        <w:t>质量保证及违约承诺；</w:t>
      </w:r>
    </w:p>
    <w:p>
      <w:pPr>
        <w:numPr>
          <w:ilvl w:val="0"/>
          <w:numId w:val="10"/>
        </w:numPr>
        <w:spacing w:before="240" w:line="360" w:lineRule="auto"/>
        <w:ind w:left="440" w:hanging="440" w:hangingChars="200"/>
        <w:rPr>
          <w:rFonts w:ascii="宋体" w:hAnsi="宋体"/>
          <w:sz w:val="22"/>
        </w:rPr>
      </w:pPr>
      <w:r>
        <w:rPr>
          <w:rFonts w:ascii="宋体" w:hAnsi="宋体"/>
          <w:sz w:val="22"/>
        </w:rPr>
        <w:t>其它维修维护方案</w:t>
      </w:r>
      <w:r>
        <w:rPr>
          <w:rFonts w:hint="eastAsia" w:ascii="宋体" w:hAnsi="宋体"/>
          <w:sz w:val="22"/>
        </w:rPr>
        <w:t>、</w:t>
      </w:r>
      <w:r>
        <w:rPr>
          <w:rFonts w:ascii="宋体" w:hAnsi="宋体"/>
          <w:sz w:val="22"/>
        </w:rPr>
        <w:t>措施等服务承诺。</w:t>
      </w:r>
    </w:p>
    <w:p>
      <w:pPr>
        <w:rPr>
          <w:bCs/>
          <w:sz w:val="22"/>
        </w:rPr>
      </w:pPr>
    </w:p>
    <w:p>
      <w:pPr>
        <w:rPr>
          <w:bCs/>
          <w:sz w:val="22"/>
        </w:rPr>
      </w:pPr>
    </w:p>
    <w:p>
      <w:pPr>
        <w:numPr>
          <w:ilvl w:val="0"/>
          <w:numId w:val="6"/>
        </w:numPr>
        <w:jc w:val="center"/>
        <w:outlineLvl w:val="2"/>
        <w:rPr>
          <w:bCs/>
          <w:szCs w:val="21"/>
        </w:rPr>
      </w:pPr>
      <w:r>
        <w:rPr>
          <w:bCs/>
          <w:sz w:val="22"/>
        </w:rPr>
        <w:br w:type="page"/>
      </w:r>
      <w:r>
        <w:rPr>
          <w:rFonts w:hint="eastAsia"/>
          <w:b/>
          <w:bCs/>
          <w:kern w:val="0"/>
          <w:sz w:val="32"/>
          <w:szCs w:val="32"/>
        </w:rPr>
        <w:t>商务</w:t>
      </w:r>
      <w:r>
        <w:rPr>
          <w:b/>
          <w:bCs/>
          <w:sz w:val="32"/>
          <w:szCs w:val="32"/>
        </w:rPr>
        <w:t>条款偏离表</w:t>
      </w:r>
    </w:p>
    <w:p>
      <w:pPr>
        <w:adjustRightInd w:val="0"/>
        <w:snapToGrid w:val="0"/>
        <w:spacing w:line="360" w:lineRule="exact"/>
        <w:rPr>
          <w:bCs/>
          <w:sz w:val="22"/>
        </w:rPr>
      </w:pPr>
      <w:r>
        <w:rPr>
          <w:bCs/>
          <w:sz w:val="22"/>
        </w:rPr>
        <w:t xml:space="preserve">投标人名称：                                   项目编号：                        </w:t>
      </w:r>
    </w:p>
    <w:tbl>
      <w:tblPr>
        <w:tblStyle w:val="44"/>
        <w:tblW w:w="43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2069"/>
        <w:gridCol w:w="2345"/>
        <w:gridCol w:w="1519"/>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pct"/>
          </w:tcPr>
          <w:p>
            <w:pPr>
              <w:adjustRightInd w:val="0"/>
              <w:snapToGrid w:val="0"/>
              <w:spacing w:line="360" w:lineRule="exact"/>
              <w:jc w:val="center"/>
              <w:rPr>
                <w:bCs/>
                <w:sz w:val="22"/>
              </w:rPr>
            </w:pPr>
            <w:r>
              <w:rPr>
                <w:bCs/>
                <w:sz w:val="22"/>
              </w:rPr>
              <w:t>序号</w:t>
            </w:r>
          </w:p>
        </w:tc>
        <w:tc>
          <w:tcPr>
            <w:tcW w:w="1390" w:type="pct"/>
            <w:vAlign w:val="center"/>
          </w:tcPr>
          <w:p>
            <w:pPr>
              <w:adjustRightInd w:val="0"/>
              <w:snapToGrid w:val="0"/>
              <w:spacing w:line="360" w:lineRule="exact"/>
              <w:jc w:val="center"/>
              <w:rPr>
                <w:bCs/>
                <w:sz w:val="22"/>
              </w:rPr>
            </w:pPr>
            <w:r>
              <w:rPr>
                <w:rFonts w:hint="eastAsia"/>
                <w:bCs/>
                <w:sz w:val="22"/>
              </w:rPr>
              <w:t>招标</w:t>
            </w:r>
            <w:r>
              <w:rPr>
                <w:bCs/>
                <w:sz w:val="22"/>
              </w:rPr>
              <w:t>商务</w:t>
            </w:r>
            <w:r>
              <w:rPr>
                <w:rFonts w:hint="eastAsia"/>
                <w:bCs/>
                <w:sz w:val="22"/>
              </w:rPr>
              <w:t>要</w:t>
            </w:r>
            <w:r>
              <w:rPr>
                <w:bCs/>
                <w:sz w:val="22"/>
              </w:rPr>
              <w:t>求</w:t>
            </w:r>
          </w:p>
        </w:tc>
        <w:tc>
          <w:tcPr>
            <w:tcW w:w="1575" w:type="pct"/>
            <w:vAlign w:val="center"/>
          </w:tcPr>
          <w:p>
            <w:pPr>
              <w:adjustRightInd w:val="0"/>
              <w:snapToGrid w:val="0"/>
              <w:spacing w:line="360" w:lineRule="exact"/>
              <w:jc w:val="center"/>
              <w:rPr>
                <w:bCs/>
                <w:sz w:val="22"/>
              </w:rPr>
            </w:pPr>
            <w:r>
              <w:rPr>
                <w:bCs/>
                <w:sz w:val="22"/>
              </w:rPr>
              <w:t>投标商务响应</w:t>
            </w:r>
          </w:p>
        </w:tc>
        <w:tc>
          <w:tcPr>
            <w:tcW w:w="1020" w:type="pct"/>
          </w:tcPr>
          <w:p>
            <w:pPr>
              <w:adjustRightInd w:val="0"/>
              <w:snapToGrid w:val="0"/>
              <w:spacing w:line="360" w:lineRule="exact"/>
              <w:jc w:val="center"/>
              <w:rPr>
                <w:bCs/>
                <w:sz w:val="22"/>
              </w:rPr>
            </w:pPr>
            <w:r>
              <w:rPr>
                <w:bCs/>
                <w:sz w:val="22"/>
              </w:rPr>
              <w:t>偏离情况</w:t>
            </w:r>
          </w:p>
        </w:tc>
        <w:tc>
          <w:tcPr>
            <w:tcW w:w="555" w:type="pct"/>
          </w:tcPr>
          <w:p>
            <w:pPr>
              <w:adjustRightInd w:val="0"/>
              <w:snapToGrid w:val="0"/>
              <w:spacing w:line="360" w:lineRule="exact"/>
              <w:jc w:val="center"/>
              <w:rPr>
                <w:bCs/>
                <w:sz w:val="22"/>
              </w:rPr>
            </w:pPr>
            <w:r>
              <w:rPr>
                <w:bCs/>
                <w:sz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pct"/>
            <w:vAlign w:val="center"/>
          </w:tcPr>
          <w:p>
            <w:pPr>
              <w:adjustRightInd w:val="0"/>
              <w:snapToGrid w:val="0"/>
              <w:spacing w:line="360" w:lineRule="exact"/>
              <w:jc w:val="center"/>
              <w:rPr>
                <w:kern w:val="0"/>
                <w:sz w:val="22"/>
              </w:rPr>
            </w:pPr>
            <w:r>
              <w:rPr>
                <w:rFonts w:hint="eastAsia"/>
                <w:kern w:val="0"/>
                <w:sz w:val="22"/>
              </w:rPr>
              <w:t>1</w:t>
            </w:r>
          </w:p>
        </w:tc>
        <w:tc>
          <w:tcPr>
            <w:tcW w:w="2069" w:type="dxa"/>
            <w:vAlign w:val="center"/>
          </w:tcPr>
          <w:p>
            <w:pPr>
              <w:spacing w:line="360" w:lineRule="auto"/>
              <w:jc w:val="center"/>
              <w:rPr>
                <w:kern w:val="0"/>
                <w:sz w:val="22"/>
              </w:rPr>
            </w:pPr>
            <w:r>
              <w:rPr>
                <w:rFonts w:hint="eastAsia" w:ascii="宋体" w:hAnsi="宋体"/>
                <w:sz w:val="22"/>
              </w:rPr>
              <w:t>本项目第二章项目需求中“</w:t>
            </w:r>
            <w:r>
              <w:rPr>
                <w:sz w:val="22"/>
              </w:rPr>
              <w:t>商务</w:t>
            </w:r>
            <w:r>
              <w:rPr>
                <w:rFonts w:hint="eastAsia"/>
                <w:sz w:val="22"/>
              </w:rPr>
              <w:t>要</w:t>
            </w:r>
            <w:r>
              <w:rPr>
                <w:sz w:val="22"/>
              </w:rPr>
              <w:t>求</w:t>
            </w:r>
            <w:r>
              <w:rPr>
                <w:rFonts w:hint="eastAsia" w:ascii="宋体" w:hAnsi="宋体"/>
                <w:sz w:val="22"/>
              </w:rPr>
              <w:t>”的全部内容</w:t>
            </w:r>
          </w:p>
        </w:tc>
        <w:tc>
          <w:tcPr>
            <w:tcW w:w="2345" w:type="dxa"/>
            <w:vAlign w:val="center"/>
          </w:tcPr>
          <w:p>
            <w:pPr>
              <w:spacing w:line="360" w:lineRule="auto"/>
              <w:jc w:val="center"/>
              <w:rPr>
                <w:kern w:val="0"/>
                <w:sz w:val="22"/>
              </w:rPr>
            </w:pPr>
            <w:r>
              <w:rPr>
                <w:rFonts w:hint="eastAsia" w:ascii="宋体" w:hAnsi="宋体"/>
                <w:sz w:val="22"/>
              </w:rPr>
              <w:t>完全满足第二章项目需求中“</w:t>
            </w:r>
            <w:r>
              <w:rPr>
                <w:sz w:val="22"/>
              </w:rPr>
              <w:t>商务</w:t>
            </w:r>
            <w:r>
              <w:rPr>
                <w:rFonts w:hint="eastAsia"/>
                <w:sz w:val="22"/>
              </w:rPr>
              <w:t>要</w:t>
            </w:r>
            <w:r>
              <w:rPr>
                <w:sz w:val="22"/>
              </w:rPr>
              <w:t>求</w:t>
            </w:r>
            <w:r>
              <w:rPr>
                <w:rFonts w:hint="eastAsia" w:ascii="宋体" w:hAnsi="宋体"/>
                <w:sz w:val="22"/>
              </w:rPr>
              <w:t>”的全部内容</w:t>
            </w:r>
          </w:p>
        </w:tc>
        <w:tc>
          <w:tcPr>
            <w:tcW w:w="1519" w:type="dxa"/>
            <w:vAlign w:val="center"/>
          </w:tcPr>
          <w:p>
            <w:pPr>
              <w:adjustRightInd w:val="0"/>
              <w:snapToGrid w:val="0"/>
              <w:spacing w:line="360" w:lineRule="exact"/>
              <w:jc w:val="center"/>
              <w:rPr>
                <w:kern w:val="0"/>
                <w:sz w:val="22"/>
              </w:rPr>
            </w:pPr>
            <w:r>
              <w:rPr>
                <w:rFonts w:hint="eastAsia"/>
                <w:kern w:val="0"/>
                <w:sz w:val="22"/>
              </w:rPr>
              <w:t>无偏离</w:t>
            </w:r>
          </w:p>
        </w:tc>
        <w:tc>
          <w:tcPr>
            <w:tcW w:w="555" w:type="pct"/>
          </w:tcPr>
          <w:p>
            <w:pPr>
              <w:adjustRightInd w:val="0"/>
              <w:snapToGrid w:val="0"/>
              <w:spacing w:line="360" w:lineRule="exact"/>
              <w:rPr>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pct"/>
            <w:vAlign w:val="center"/>
          </w:tcPr>
          <w:p>
            <w:pPr>
              <w:adjustRightInd w:val="0"/>
              <w:snapToGrid w:val="0"/>
              <w:spacing w:line="360" w:lineRule="exact"/>
              <w:jc w:val="center"/>
              <w:rPr>
                <w:kern w:val="0"/>
                <w:sz w:val="22"/>
              </w:rPr>
            </w:pPr>
            <w:r>
              <w:rPr>
                <w:rFonts w:hint="eastAsia"/>
                <w:kern w:val="0"/>
                <w:sz w:val="22"/>
              </w:rPr>
              <w:t>...</w:t>
            </w:r>
          </w:p>
        </w:tc>
        <w:tc>
          <w:tcPr>
            <w:tcW w:w="2069" w:type="dxa"/>
            <w:vAlign w:val="center"/>
          </w:tcPr>
          <w:p>
            <w:pPr>
              <w:spacing w:line="360" w:lineRule="auto"/>
              <w:jc w:val="center"/>
              <w:rPr>
                <w:kern w:val="0"/>
                <w:sz w:val="22"/>
              </w:rPr>
            </w:pPr>
          </w:p>
        </w:tc>
        <w:tc>
          <w:tcPr>
            <w:tcW w:w="2345" w:type="dxa"/>
            <w:vAlign w:val="center"/>
          </w:tcPr>
          <w:p>
            <w:pPr>
              <w:spacing w:line="360" w:lineRule="auto"/>
              <w:jc w:val="center"/>
              <w:rPr>
                <w:kern w:val="0"/>
                <w:sz w:val="22"/>
              </w:rPr>
            </w:pPr>
          </w:p>
        </w:tc>
        <w:tc>
          <w:tcPr>
            <w:tcW w:w="1519" w:type="dxa"/>
            <w:vAlign w:val="center"/>
          </w:tcPr>
          <w:p>
            <w:pPr>
              <w:adjustRightInd w:val="0"/>
              <w:snapToGrid w:val="0"/>
              <w:spacing w:line="360" w:lineRule="exact"/>
              <w:jc w:val="center"/>
              <w:rPr>
                <w:kern w:val="0"/>
                <w:sz w:val="22"/>
              </w:rPr>
            </w:pPr>
          </w:p>
        </w:tc>
        <w:tc>
          <w:tcPr>
            <w:tcW w:w="555" w:type="pct"/>
          </w:tcPr>
          <w:p>
            <w:pPr>
              <w:adjustRightInd w:val="0"/>
              <w:snapToGrid w:val="0"/>
              <w:spacing w:line="360" w:lineRule="exact"/>
              <w:rPr>
                <w:kern w:val="0"/>
                <w:sz w:val="22"/>
              </w:rPr>
            </w:pPr>
          </w:p>
        </w:tc>
      </w:tr>
    </w:tbl>
    <w:p>
      <w:pPr>
        <w:adjustRightInd w:val="0"/>
        <w:snapToGrid w:val="0"/>
        <w:spacing w:line="360" w:lineRule="exact"/>
        <w:rPr>
          <w:rFonts w:cs="宋体"/>
          <w:bCs/>
          <w:sz w:val="22"/>
        </w:rPr>
      </w:pPr>
      <w:r>
        <w:rPr>
          <w:rFonts w:hint="eastAsia" w:cs="宋体"/>
          <w:bCs/>
          <w:sz w:val="22"/>
        </w:rPr>
        <w:t>备注：</w:t>
      </w:r>
    </w:p>
    <w:p>
      <w:pPr>
        <w:spacing w:line="360" w:lineRule="exact"/>
        <w:rPr>
          <w:sz w:val="22"/>
        </w:rPr>
      </w:pPr>
      <w:r>
        <w:rPr>
          <w:sz w:val="22"/>
        </w:rPr>
        <w:t>1.“</w:t>
      </w:r>
      <w:r>
        <w:rPr>
          <w:rFonts w:hint="eastAsia"/>
          <w:bCs/>
          <w:sz w:val="22"/>
        </w:rPr>
        <w:t>招标</w:t>
      </w:r>
      <w:r>
        <w:rPr>
          <w:bCs/>
          <w:sz w:val="22"/>
        </w:rPr>
        <w:t>商务</w:t>
      </w:r>
      <w:r>
        <w:rPr>
          <w:rFonts w:hint="eastAsia"/>
          <w:bCs/>
          <w:sz w:val="22"/>
        </w:rPr>
        <w:t>要</w:t>
      </w:r>
      <w:r>
        <w:rPr>
          <w:bCs/>
          <w:sz w:val="22"/>
        </w:rPr>
        <w:t>求</w:t>
      </w:r>
      <w:r>
        <w:rPr>
          <w:sz w:val="22"/>
        </w:rPr>
        <w:t>”一栏必须填写采购文件第二章“商务</w:t>
      </w:r>
      <w:r>
        <w:rPr>
          <w:rFonts w:hint="eastAsia"/>
          <w:sz w:val="22"/>
        </w:rPr>
        <w:t>要</w:t>
      </w:r>
      <w:r>
        <w:rPr>
          <w:sz w:val="22"/>
        </w:rPr>
        <w:t>求”的内容分别对应的内容进行填写。</w:t>
      </w:r>
    </w:p>
    <w:p>
      <w:pPr>
        <w:spacing w:line="360" w:lineRule="exact"/>
        <w:rPr>
          <w:sz w:val="22"/>
        </w:rPr>
      </w:pPr>
      <w:r>
        <w:rPr>
          <w:sz w:val="22"/>
        </w:rPr>
        <w:t>2.“投标商务条款”一栏必须详细填写投标商务条款的内容。</w:t>
      </w:r>
    </w:p>
    <w:p>
      <w:pPr>
        <w:spacing w:line="360" w:lineRule="exact"/>
        <w:rPr>
          <w:sz w:val="22"/>
        </w:rPr>
      </w:pPr>
      <w:r>
        <w:rPr>
          <w:sz w:val="22"/>
        </w:rPr>
        <w:t>3.“偏离情况”栏中应如实填写“正偏离”、“负偏离”或“无偏离”。</w:t>
      </w:r>
    </w:p>
    <w:p>
      <w:pPr>
        <w:spacing w:line="360" w:lineRule="exact"/>
        <w:rPr>
          <w:sz w:val="22"/>
        </w:rPr>
      </w:pPr>
      <w:r>
        <w:rPr>
          <w:sz w:val="22"/>
        </w:rPr>
        <w:t>3.交货期条款为不可负偏离条款，投标文件响应为“负偏离”的，投标文件将按废标处理。</w:t>
      </w:r>
    </w:p>
    <w:p>
      <w:pPr>
        <w:spacing w:line="360" w:lineRule="exact"/>
        <w:rPr>
          <w:sz w:val="22"/>
        </w:rPr>
      </w:pPr>
      <w:r>
        <w:rPr>
          <w:sz w:val="22"/>
        </w:rPr>
        <w:t>4.开标一览表中填写的“交货期”必须与本表填写的“交货期”一致。如填写不一致，以开标一览表填写的“交货期”为准。</w:t>
      </w:r>
    </w:p>
    <w:p>
      <w:pPr>
        <w:adjustRightInd w:val="0"/>
        <w:snapToGrid w:val="0"/>
        <w:spacing w:line="360" w:lineRule="exact"/>
        <w:rPr>
          <w:bCs/>
          <w:sz w:val="22"/>
        </w:rPr>
      </w:pPr>
    </w:p>
    <w:p>
      <w:pPr>
        <w:numPr>
          <w:ilvl w:val="0"/>
          <w:numId w:val="6"/>
        </w:numPr>
        <w:jc w:val="center"/>
        <w:outlineLvl w:val="2"/>
        <w:rPr>
          <w:bCs/>
          <w:sz w:val="24"/>
        </w:rPr>
      </w:pPr>
      <w:r>
        <w:rPr>
          <w:bCs/>
          <w:szCs w:val="21"/>
        </w:rPr>
        <w:br w:type="page"/>
      </w:r>
      <w:r>
        <w:rPr>
          <w:rFonts w:hint="eastAsia"/>
          <w:b/>
          <w:bCs/>
          <w:kern w:val="0"/>
          <w:sz w:val="32"/>
          <w:szCs w:val="32"/>
        </w:rPr>
        <w:t>技术</w:t>
      </w:r>
      <w:r>
        <w:rPr>
          <w:b/>
          <w:bCs/>
          <w:sz w:val="32"/>
          <w:szCs w:val="32"/>
        </w:rPr>
        <w:t>规格偏离表</w:t>
      </w:r>
    </w:p>
    <w:p>
      <w:pPr>
        <w:adjustRightInd w:val="0"/>
        <w:snapToGrid w:val="0"/>
        <w:spacing w:line="360" w:lineRule="exact"/>
        <w:rPr>
          <w:bCs/>
          <w:sz w:val="22"/>
        </w:rPr>
      </w:pPr>
      <w:r>
        <w:rPr>
          <w:bCs/>
          <w:sz w:val="22"/>
        </w:rPr>
        <w:t xml:space="preserve">投标人名称：                               项目编号：                        </w:t>
      </w:r>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117"/>
        <w:gridCol w:w="1559"/>
        <w:gridCol w:w="1984"/>
        <w:gridCol w:w="170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vAlign w:val="center"/>
          </w:tcPr>
          <w:p>
            <w:pPr>
              <w:adjustRightInd w:val="0"/>
              <w:snapToGrid w:val="0"/>
              <w:spacing w:line="360" w:lineRule="exact"/>
              <w:jc w:val="center"/>
              <w:rPr>
                <w:bCs/>
                <w:sz w:val="22"/>
              </w:rPr>
            </w:pPr>
            <w:r>
              <w:rPr>
                <w:bCs/>
                <w:sz w:val="22"/>
              </w:rPr>
              <w:t>序号</w:t>
            </w:r>
          </w:p>
        </w:tc>
        <w:tc>
          <w:tcPr>
            <w:tcW w:w="1117" w:type="dxa"/>
          </w:tcPr>
          <w:p>
            <w:pPr>
              <w:adjustRightInd w:val="0"/>
              <w:snapToGrid w:val="0"/>
              <w:spacing w:line="360" w:lineRule="exact"/>
              <w:jc w:val="center"/>
              <w:rPr>
                <w:bCs/>
                <w:sz w:val="22"/>
              </w:rPr>
            </w:pPr>
            <w:r>
              <w:rPr>
                <w:bCs/>
                <w:sz w:val="22"/>
              </w:rPr>
              <w:t>货物名称</w:t>
            </w:r>
          </w:p>
        </w:tc>
        <w:tc>
          <w:tcPr>
            <w:tcW w:w="1559" w:type="dxa"/>
          </w:tcPr>
          <w:p>
            <w:pPr>
              <w:adjustRightInd w:val="0"/>
              <w:snapToGrid w:val="0"/>
              <w:spacing w:line="360" w:lineRule="exact"/>
              <w:jc w:val="center"/>
              <w:rPr>
                <w:bCs/>
                <w:sz w:val="22"/>
              </w:rPr>
            </w:pPr>
            <w:r>
              <w:rPr>
                <w:bCs/>
                <w:sz w:val="22"/>
              </w:rPr>
              <w:t>招标技术要求</w:t>
            </w:r>
          </w:p>
        </w:tc>
        <w:tc>
          <w:tcPr>
            <w:tcW w:w="1984" w:type="dxa"/>
          </w:tcPr>
          <w:p>
            <w:pPr>
              <w:adjustRightInd w:val="0"/>
              <w:snapToGrid w:val="0"/>
              <w:spacing w:line="360" w:lineRule="exact"/>
              <w:jc w:val="center"/>
              <w:rPr>
                <w:bCs/>
                <w:sz w:val="22"/>
              </w:rPr>
            </w:pPr>
            <w:r>
              <w:rPr>
                <w:bCs/>
                <w:sz w:val="22"/>
              </w:rPr>
              <w:t>投标技术响应</w:t>
            </w:r>
          </w:p>
        </w:tc>
        <w:tc>
          <w:tcPr>
            <w:tcW w:w="1701" w:type="dxa"/>
            <w:vAlign w:val="center"/>
          </w:tcPr>
          <w:p>
            <w:pPr>
              <w:adjustRightInd w:val="0"/>
              <w:snapToGrid w:val="0"/>
              <w:spacing w:line="360" w:lineRule="exact"/>
              <w:jc w:val="center"/>
              <w:rPr>
                <w:bCs/>
                <w:sz w:val="22"/>
              </w:rPr>
            </w:pPr>
            <w:r>
              <w:rPr>
                <w:bCs/>
                <w:sz w:val="22"/>
              </w:rPr>
              <w:t>偏离情况</w:t>
            </w:r>
          </w:p>
        </w:tc>
        <w:tc>
          <w:tcPr>
            <w:tcW w:w="850" w:type="dxa"/>
            <w:vAlign w:val="center"/>
          </w:tcPr>
          <w:p>
            <w:pPr>
              <w:adjustRightInd w:val="0"/>
              <w:snapToGrid w:val="0"/>
              <w:spacing w:line="360" w:lineRule="exact"/>
              <w:jc w:val="center"/>
              <w:rPr>
                <w:bCs/>
                <w:sz w:val="22"/>
              </w:rPr>
            </w:pPr>
            <w:r>
              <w:rPr>
                <w:bCs/>
                <w:sz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vAlign w:val="center"/>
          </w:tcPr>
          <w:p>
            <w:pPr>
              <w:adjustRightInd w:val="0"/>
              <w:snapToGrid w:val="0"/>
              <w:spacing w:line="360" w:lineRule="exact"/>
              <w:jc w:val="center"/>
              <w:rPr>
                <w:bCs/>
                <w:sz w:val="22"/>
              </w:rPr>
            </w:pPr>
            <w:r>
              <w:rPr>
                <w:rFonts w:hint="eastAsia"/>
                <w:bCs/>
                <w:sz w:val="22"/>
              </w:rPr>
              <w:t>1</w:t>
            </w:r>
          </w:p>
        </w:tc>
        <w:tc>
          <w:tcPr>
            <w:tcW w:w="1117" w:type="dxa"/>
          </w:tcPr>
          <w:p>
            <w:pPr>
              <w:adjustRightInd w:val="0"/>
              <w:snapToGrid w:val="0"/>
              <w:spacing w:line="360" w:lineRule="exact"/>
              <w:jc w:val="center"/>
              <w:rPr>
                <w:bCs/>
                <w:sz w:val="22"/>
              </w:rPr>
            </w:pPr>
          </w:p>
        </w:tc>
        <w:tc>
          <w:tcPr>
            <w:tcW w:w="1559" w:type="dxa"/>
            <w:vAlign w:val="center"/>
          </w:tcPr>
          <w:p>
            <w:pPr>
              <w:adjustRightInd w:val="0"/>
              <w:snapToGrid w:val="0"/>
              <w:spacing w:line="360" w:lineRule="exact"/>
              <w:jc w:val="center"/>
              <w:rPr>
                <w:bCs/>
                <w:sz w:val="22"/>
              </w:rPr>
            </w:pPr>
          </w:p>
        </w:tc>
        <w:tc>
          <w:tcPr>
            <w:tcW w:w="1984" w:type="dxa"/>
            <w:vAlign w:val="center"/>
          </w:tcPr>
          <w:p>
            <w:pPr>
              <w:adjustRightInd w:val="0"/>
              <w:snapToGrid w:val="0"/>
              <w:spacing w:line="360" w:lineRule="exact"/>
              <w:jc w:val="center"/>
              <w:rPr>
                <w:bCs/>
                <w:sz w:val="22"/>
              </w:rPr>
            </w:pPr>
          </w:p>
        </w:tc>
        <w:tc>
          <w:tcPr>
            <w:tcW w:w="1701" w:type="dxa"/>
            <w:vAlign w:val="center"/>
          </w:tcPr>
          <w:p>
            <w:pPr>
              <w:adjustRightInd w:val="0"/>
              <w:snapToGrid w:val="0"/>
              <w:spacing w:line="360" w:lineRule="exact"/>
              <w:jc w:val="center"/>
              <w:rPr>
                <w:bCs/>
                <w:sz w:val="22"/>
              </w:rPr>
            </w:pPr>
          </w:p>
        </w:tc>
        <w:tc>
          <w:tcPr>
            <w:tcW w:w="850" w:type="dxa"/>
            <w:vAlign w:val="center"/>
          </w:tcPr>
          <w:p>
            <w:pPr>
              <w:adjustRightInd w:val="0"/>
              <w:snapToGrid w:val="0"/>
              <w:spacing w:line="360" w:lineRule="exact"/>
              <w:jc w:val="center"/>
              <w:rPr>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vAlign w:val="center"/>
          </w:tcPr>
          <w:p>
            <w:pPr>
              <w:adjustRightInd w:val="0"/>
              <w:snapToGrid w:val="0"/>
              <w:spacing w:line="360" w:lineRule="exact"/>
              <w:jc w:val="center"/>
              <w:rPr>
                <w:bCs/>
                <w:sz w:val="22"/>
              </w:rPr>
            </w:pPr>
            <w:r>
              <w:rPr>
                <w:rFonts w:hint="eastAsia"/>
                <w:bCs/>
                <w:sz w:val="22"/>
              </w:rPr>
              <w:t>...</w:t>
            </w:r>
          </w:p>
        </w:tc>
        <w:tc>
          <w:tcPr>
            <w:tcW w:w="1117" w:type="dxa"/>
          </w:tcPr>
          <w:p>
            <w:pPr>
              <w:adjustRightInd w:val="0"/>
              <w:snapToGrid w:val="0"/>
              <w:spacing w:line="360" w:lineRule="exact"/>
              <w:jc w:val="center"/>
              <w:rPr>
                <w:bCs/>
                <w:sz w:val="22"/>
              </w:rPr>
            </w:pPr>
          </w:p>
        </w:tc>
        <w:tc>
          <w:tcPr>
            <w:tcW w:w="1559" w:type="dxa"/>
            <w:vAlign w:val="center"/>
          </w:tcPr>
          <w:p>
            <w:pPr>
              <w:adjustRightInd w:val="0"/>
              <w:snapToGrid w:val="0"/>
              <w:spacing w:line="360" w:lineRule="exact"/>
              <w:jc w:val="center"/>
              <w:rPr>
                <w:bCs/>
                <w:sz w:val="22"/>
              </w:rPr>
            </w:pPr>
          </w:p>
        </w:tc>
        <w:tc>
          <w:tcPr>
            <w:tcW w:w="1984" w:type="dxa"/>
            <w:vAlign w:val="center"/>
          </w:tcPr>
          <w:p>
            <w:pPr>
              <w:adjustRightInd w:val="0"/>
              <w:snapToGrid w:val="0"/>
              <w:spacing w:line="360" w:lineRule="exact"/>
              <w:jc w:val="center"/>
              <w:rPr>
                <w:bCs/>
                <w:sz w:val="22"/>
              </w:rPr>
            </w:pPr>
          </w:p>
        </w:tc>
        <w:tc>
          <w:tcPr>
            <w:tcW w:w="1701" w:type="dxa"/>
            <w:vAlign w:val="center"/>
          </w:tcPr>
          <w:p>
            <w:pPr>
              <w:adjustRightInd w:val="0"/>
              <w:snapToGrid w:val="0"/>
              <w:spacing w:line="360" w:lineRule="exact"/>
              <w:jc w:val="center"/>
              <w:rPr>
                <w:bCs/>
                <w:sz w:val="22"/>
              </w:rPr>
            </w:pPr>
          </w:p>
        </w:tc>
        <w:tc>
          <w:tcPr>
            <w:tcW w:w="850" w:type="dxa"/>
            <w:vAlign w:val="center"/>
          </w:tcPr>
          <w:p>
            <w:pPr>
              <w:adjustRightInd w:val="0"/>
              <w:snapToGrid w:val="0"/>
              <w:spacing w:line="360" w:lineRule="exact"/>
              <w:jc w:val="center"/>
              <w:rPr>
                <w:bCs/>
                <w:sz w:val="22"/>
              </w:rPr>
            </w:pPr>
          </w:p>
        </w:tc>
      </w:tr>
    </w:tbl>
    <w:p>
      <w:pPr>
        <w:adjustRightInd w:val="0"/>
        <w:snapToGrid w:val="0"/>
        <w:spacing w:line="360" w:lineRule="exact"/>
        <w:rPr>
          <w:bCs/>
          <w:sz w:val="22"/>
        </w:rPr>
      </w:pPr>
      <w:r>
        <w:rPr>
          <w:bCs/>
          <w:sz w:val="22"/>
        </w:rPr>
        <w:t>备注：</w:t>
      </w:r>
    </w:p>
    <w:p>
      <w:pPr>
        <w:spacing w:line="360" w:lineRule="exact"/>
      </w:pPr>
      <w:r>
        <w:t>1、“招标技术要求”一栏应填写采购文件第二章“具体技术要求”的内容；</w:t>
      </w:r>
    </w:p>
    <w:p>
      <w:pPr>
        <w:spacing w:line="360" w:lineRule="exact"/>
      </w:pPr>
      <w:r>
        <w:t>2、“投标技术响应”一栏必须详细填写投标产品的具体参数，并应对照招标技术要求一一对应响应；</w:t>
      </w:r>
    </w:p>
    <w:p>
      <w:pPr>
        <w:spacing w:line="360" w:lineRule="exact"/>
      </w:pPr>
      <w:r>
        <w:t>3、“偏离情况”一栏应如实填写“正偏离”、“负偏离”或“无偏离”。</w:t>
      </w:r>
    </w:p>
    <w:p>
      <w:pPr>
        <w:spacing w:line="360" w:lineRule="exact"/>
      </w:pPr>
      <w:r>
        <w:t>4、投标产品的技术参数应</w:t>
      </w:r>
      <w:r>
        <w:rPr>
          <w:rFonts w:hint="eastAsia"/>
        </w:rPr>
        <w:t>按照技术要求</w:t>
      </w:r>
      <w:r>
        <w:t>提供相应的证明资料，投标人应在“说明”一栏中列出技术参数的证明资料名称，并指明该证明资料在投标文件中的具体位置。</w:t>
      </w:r>
    </w:p>
    <w:p>
      <w:pPr>
        <w:adjustRightInd w:val="0"/>
        <w:snapToGrid w:val="0"/>
        <w:spacing w:line="360" w:lineRule="exact"/>
        <w:rPr>
          <w:bCs/>
          <w:sz w:val="22"/>
        </w:rPr>
      </w:pPr>
      <w:r>
        <w:rPr>
          <w:rFonts w:hint="eastAsia"/>
        </w:rPr>
        <w:t>5</w:t>
      </w:r>
      <w:r>
        <w:t>、评审委员会有权对以谋取中标为目的的技术规格模糊响应或虚假响应予以认定，并视情况经政府采购代理机构报市政府采购监督管理部门</w:t>
      </w:r>
      <w:r>
        <w:rPr>
          <w:rFonts w:hint="eastAsia"/>
        </w:rPr>
        <w:t>处理</w:t>
      </w:r>
      <w:r>
        <w:t>。</w:t>
      </w:r>
    </w:p>
    <w:p>
      <w:pPr>
        <w:numPr>
          <w:ilvl w:val="0"/>
          <w:numId w:val="6"/>
        </w:numPr>
        <w:jc w:val="center"/>
        <w:outlineLvl w:val="2"/>
      </w:pPr>
      <w:r>
        <w:rPr>
          <w:bCs/>
          <w:sz w:val="22"/>
        </w:rPr>
        <w:br w:type="page"/>
      </w:r>
      <w:r>
        <w:rPr>
          <w:b/>
          <w:bCs/>
          <w:sz w:val="32"/>
          <w:szCs w:val="32"/>
        </w:rPr>
        <w:t>中小企业、残疾人福利性单位和监狱企业政策导向</w:t>
      </w:r>
    </w:p>
    <w:p>
      <w:pPr>
        <w:jc w:val="center"/>
      </w:pPr>
      <w:r>
        <w:t>（如符合则提供）</w:t>
      </w:r>
    </w:p>
    <w:p>
      <w:pPr>
        <w:spacing w:line="360" w:lineRule="auto"/>
        <w:ind w:firstLine="440" w:firstLineChars="200"/>
        <w:rPr>
          <w:rFonts w:ascii="宋体" w:hAnsi="宋体" w:cs="宋体"/>
          <w:bCs/>
          <w:sz w:val="22"/>
        </w:rPr>
      </w:pPr>
      <w:r>
        <w:rPr>
          <w:rFonts w:hint="eastAsia" w:ascii="宋体" w:hAnsi="宋体" w:cs="宋体"/>
          <w:bCs/>
          <w:sz w:val="22"/>
        </w:rPr>
        <w:t>填写指引：</w:t>
      </w:r>
    </w:p>
    <w:p>
      <w:pPr>
        <w:spacing w:line="360" w:lineRule="auto"/>
        <w:ind w:firstLine="440" w:firstLineChars="200"/>
        <w:rPr>
          <w:rFonts w:ascii="宋体" w:hAnsi="宋体" w:cs="宋体"/>
          <w:bCs/>
          <w:sz w:val="22"/>
        </w:rPr>
      </w:pPr>
      <w:r>
        <w:rPr>
          <w:rFonts w:hint="eastAsia" w:ascii="宋体" w:hAnsi="宋体" w:cs="宋体"/>
          <w:bCs/>
          <w:sz w:val="22"/>
        </w:rPr>
        <w:t>1、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2011】300号）或向深圳市中小企业服务局咨询。</w:t>
      </w:r>
    </w:p>
    <w:p>
      <w:pPr>
        <w:spacing w:line="360" w:lineRule="auto"/>
        <w:ind w:firstLine="440" w:firstLineChars="200"/>
        <w:rPr>
          <w:rFonts w:ascii="宋体" w:hAnsi="宋体" w:cs="宋体"/>
          <w:bCs/>
          <w:sz w:val="22"/>
        </w:rPr>
      </w:pPr>
      <w:r>
        <w:rPr>
          <w:rFonts w:hint="eastAsia" w:ascii="宋体" w:hAnsi="宋体" w:cs="宋体"/>
          <w:bCs/>
          <w:sz w:val="22"/>
        </w:rPr>
        <w:t>2、该部分内容填写需要参考的相关文件：（1）《深圳市财政局关于落实有关政府采购优惠政策的意见》（深财购函【2019】868号）；(2)财政部《政府采购促进中小企业发展管理办法》；(3) 《工业和信息化部、国家统计局、国家发展和改革委员会、财政部关于印发中小企业划型标准规定的通知》（工信部联企业〔2011〕300 号）。</w:t>
      </w:r>
    </w:p>
    <w:p>
      <w:pPr>
        <w:spacing w:line="360" w:lineRule="auto"/>
        <w:ind w:firstLine="440" w:firstLineChars="200"/>
        <w:rPr>
          <w:rFonts w:ascii="宋体" w:hAnsi="宋体" w:cs="宋体"/>
          <w:bCs/>
          <w:sz w:val="22"/>
        </w:rPr>
      </w:pPr>
      <w:r>
        <w:rPr>
          <w:rFonts w:hint="eastAsia" w:ascii="宋体" w:hAnsi="宋体" w:cs="宋体"/>
          <w:bCs/>
          <w:sz w:val="22"/>
        </w:rPr>
        <w:t>3、请依照提供的格式和内容填写声明函，不要随意变更格式或增删内容；满足多项优惠政策的企业，不重复享受多项价格扣除政策。</w:t>
      </w:r>
    </w:p>
    <w:p>
      <w:pPr>
        <w:spacing w:line="360" w:lineRule="auto"/>
        <w:ind w:firstLine="440" w:firstLineChars="200"/>
        <w:rPr>
          <w:rFonts w:ascii="宋体" w:hAnsi="宋体" w:cs="宋体"/>
          <w:bCs/>
          <w:sz w:val="22"/>
        </w:rPr>
      </w:pPr>
      <w:r>
        <w:rPr>
          <w:rFonts w:hint="eastAsia" w:ascii="宋体" w:hAnsi="宋体" w:cs="宋体"/>
          <w:bCs/>
          <w:sz w:val="22"/>
        </w:rPr>
        <w:t>4、声明函具体填写要求：</w:t>
      </w:r>
    </w:p>
    <w:p>
      <w:pPr>
        <w:spacing w:line="360" w:lineRule="auto"/>
        <w:ind w:firstLine="442" w:firstLineChars="200"/>
        <w:rPr>
          <w:rFonts w:ascii="宋体" w:hAnsi="宋体" w:cs="宋体"/>
          <w:b/>
          <w:sz w:val="22"/>
        </w:rPr>
      </w:pPr>
      <w:r>
        <w:rPr>
          <w:rFonts w:hint="eastAsia" w:ascii="宋体" w:hAnsi="宋体" w:cs="宋体"/>
          <w:b/>
          <w:sz w:val="22"/>
        </w:rPr>
        <w:t>（1）声明是中小企业须填写《中小企业声明函》的以下内容：</w:t>
      </w:r>
    </w:p>
    <w:p>
      <w:pPr>
        <w:spacing w:line="360" w:lineRule="auto"/>
        <w:ind w:firstLine="442" w:firstLineChars="200"/>
        <w:rPr>
          <w:rFonts w:ascii="宋体" w:hAnsi="宋体" w:cs="宋体"/>
          <w:b/>
          <w:sz w:val="22"/>
        </w:rPr>
      </w:pPr>
      <w:r>
        <w:rPr>
          <w:rFonts w:hint="eastAsia" w:ascii="宋体" w:hAnsi="宋体" w:cs="宋体"/>
          <w:b/>
          <w:sz w:val="22"/>
        </w:rPr>
        <w:t>在“采购单位名称”下划线处填写本项目的实际采购单位名称（深圳市东海国际招标有限公司不是本项目的采购单位，而是本项目的组织实施机构）；</w:t>
      </w:r>
    </w:p>
    <w:p>
      <w:pPr>
        <w:spacing w:line="360" w:lineRule="auto"/>
        <w:ind w:firstLine="442" w:firstLineChars="200"/>
        <w:rPr>
          <w:rFonts w:ascii="宋体" w:hAnsi="宋体" w:cs="宋体"/>
          <w:b/>
          <w:sz w:val="22"/>
        </w:rPr>
      </w:pPr>
      <w:r>
        <w:rPr>
          <w:rFonts w:hint="eastAsia" w:ascii="宋体" w:hAnsi="宋体" w:cs="宋体"/>
          <w:b/>
          <w:sz w:val="22"/>
        </w:rPr>
        <w:t>在“采购项目名称”下划线处填写本项目的实际项目名称（项目名称可在招标公告处查看）；</w:t>
      </w:r>
    </w:p>
    <w:p>
      <w:pPr>
        <w:spacing w:line="360" w:lineRule="auto"/>
        <w:ind w:firstLine="442" w:firstLineChars="200"/>
        <w:rPr>
          <w:b/>
          <w:sz w:val="22"/>
        </w:rPr>
      </w:pPr>
      <w:r>
        <w:rPr>
          <w:rFonts w:hint="eastAsia" w:ascii="宋体" w:hAnsi="宋体"/>
          <w:b/>
          <w:sz w:val="22"/>
        </w:rPr>
        <w:t>在“标的名称”下划线处填写招标文件中采购需求中相对应的名称；</w:t>
      </w:r>
    </w:p>
    <w:p>
      <w:pPr>
        <w:spacing w:line="360" w:lineRule="auto"/>
        <w:ind w:firstLine="442" w:firstLineChars="200"/>
        <w:rPr>
          <w:b/>
          <w:sz w:val="22"/>
        </w:rPr>
      </w:pPr>
      <w:r>
        <w:rPr>
          <w:rFonts w:hint="eastAsia" w:ascii="宋体" w:hAnsi="宋体"/>
          <w:b/>
          <w:sz w:val="22"/>
        </w:rPr>
        <w:t>在“采购文件中明确的所属行业”中填写对应的行业类别；</w:t>
      </w:r>
    </w:p>
    <w:p>
      <w:pPr>
        <w:ind w:firstLine="442" w:firstLineChars="200"/>
        <w:rPr>
          <w:rFonts w:ascii="宋体" w:hAnsi="宋体"/>
          <w:b/>
          <w:sz w:val="22"/>
        </w:rPr>
      </w:pPr>
      <w:r>
        <w:rPr>
          <w:rFonts w:hint="eastAsia" w:ascii="宋体" w:hAnsi="宋体"/>
          <w:b/>
          <w:sz w:val="22"/>
        </w:rPr>
        <w:t>在“企业名称”中填写所提供货物的制造商的企业名称，并如实填写该企业需要填报的其他情况。</w:t>
      </w:r>
    </w:p>
    <w:p>
      <w:pPr>
        <w:ind w:firstLine="442" w:firstLineChars="200"/>
        <w:rPr>
          <w:rFonts w:ascii="宋体" w:hAnsi="宋体" w:cs="宋体"/>
          <w:b/>
          <w:sz w:val="22"/>
        </w:rPr>
      </w:pPr>
      <w:r>
        <w:rPr>
          <w:rFonts w:hint="eastAsia" w:ascii="宋体" w:hAnsi="宋体" w:cs="宋体"/>
          <w:b/>
          <w:sz w:val="22"/>
        </w:rPr>
        <w:t xml:space="preserve">    在“中型企业、小型企业、微型企业”下划线处根据自身实际情况在三个选项中填写符合相关政策要求的一个；</w:t>
      </w:r>
    </w:p>
    <w:p>
      <w:pPr>
        <w:ind w:firstLine="442" w:firstLineChars="200"/>
        <w:rPr>
          <w:rFonts w:ascii="宋体" w:hAnsi="宋体" w:cs="宋体"/>
          <w:bCs/>
          <w:sz w:val="22"/>
        </w:rPr>
      </w:pPr>
      <w:r>
        <w:rPr>
          <w:rFonts w:hint="eastAsia" w:ascii="宋体" w:hAnsi="宋体" w:cs="宋体"/>
          <w:b/>
          <w:sz w:val="22"/>
        </w:rPr>
        <w:t xml:space="preserve">   </w:t>
      </w:r>
      <w:r>
        <w:rPr>
          <w:rFonts w:hint="eastAsia" w:ascii="宋体" w:hAnsi="宋体" w:cs="宋体"/>
          <w:bCs/>
          <w:sz w:val="22"/>
        </w:rPr>
        <w:t>（2）声明是残疾人福利性单位须填写《残疾人福利性单位声明函》的三项内容（填写位置的字体已加粗），具体参照以上《中小企业声明函》填写要求执行。</w:t>
      </w:r>
    </w:p>
    <w:p>
      <w:pPr>
        <w:ind w:firstLine="440" w:firstLineChars="200"/>
        <w:rPr>
          <w:rFonts w:ascii="宋体" w:hAnsi="宋体" w:cs="宋体"/>
          <w:bCs/>
          <w:sz w:val="22"/>
        </w:rPr>
      </w:pPr>
      <w:r>
        <w:rPr>
          <w:rFonts w:hint="eastAsia" w:ascii="宋体" w:hAnsi="宋体" w:cs="宋体"/>
          <w:bCs/>
          <w:sz w:val="22"/>
        </w:rPr>
        <w:t>（3）声明是监狱企业须填写《监狱企业声明函》的三项内容（填写位置的字体已加粗），具体参照以上《中小企业声明函》填写要求执行。</w:t>
      </w:r>
    </w:p>
    <w:p>
      <w:pPr>
        <w:spacing w:line="360" w:lineRule="auto"/>
        <w:ind w:firstLine="440" w:firstLineChars="200"/>
        <w:rPr>
          <w:bCs/>
        </w:rPr>
      </w:pPr>
      <w:r>
        <w:rPr>
          <w:rFonts w:hint="eastAsia" w:ascii="宋体" w:hAnsi="宋体" w:cs="宋体"/>
          <w:bCs/>
          <w:sz w:val="22"/>
        </w:rPr>
        <w:t>5、声明函的有效性最终由评审委员会判定。</w:t>
      </w:r>
    </w:p>
    <w:p/>
    <w:p>
      <w:pPr>
        <w:adjustRightInd w:val="0"/>
        <w:snapToGrid w:val="0"/>
        <w:spacing w:line="360" w:lineRule="auto"/>
        <w:jc w:val="center"/>
        <w:rPr>
          <w:b/>
          <w:szCs w:val="21"/>
        </w:rPr>
      </w:pPr>
    </w:p>
    <w:p>
      <w:pPr>
        <w:adjustRightInd w:val="0"/>
        <w:snapToGrid w:val="0"/>
        <w:spacing w:line="360" w:lineRule="auto"/>
        <w:jc w:val="center"/>
        <w:rPr>
          <w:b/>
          <w:szCs w:val="21"/>
        </w:rPr>
      </w:pPr>
      <w:r>
        <w:rPr>
          <w:b/>
          <w:szCs w:val="21"/>
        </w:rPr>
        <w:t>（一）中小企</w:t>
      </w:r>
      <w:r>
        <w:rPr>
          <w:b/>
          <w:bCs/>
          <w:szCs w:val="21"/>
        </w:rPr>
        <w:t>业声明函</w:t>
      </w:r>
    </w:p>
    <w:p>
      <w:pPr>
        <w:ind w:firstLine="440" w:firstLineChars="200"/>
        <w:rPr>
          <w:rFonts w:ascii="宋体" w:hAnsi="宋体" w:cs="宋体"/>
          <w:sz w:val="22"/>
        </w:rPr>
      </w:pPr>
      <w:r>
        <w:rPr>
          <w:rFonts w:hint="eastAsia" w:ascii="宋体" w:hAnsi="宋体" w:cs="宋体"/>
          <w:sz w:val="22"/>
        </w:rPr>
        <w:t>本公司（联合体）郑重声明，根据《政府采购促进中小企业发展管理办法》（财库〔2020〕46号）的规定，本公司（联合体）参加</w:t>
      </w:r>
      <w:r>
        <w:rPr>
          <w:rFonts w:hint="eastAsia" w:ascii="宋体" w:hAnsi="宋体" w:cs="宋体"/>
          <w:sz w:val="22"/>
          <w:u w:val="single"/>
        </w:rPr>
        <w:t xml:space="preserve"> </w:t>
      </w:r>
      <w:r>
        <w:rPr>
          <w:rFonts w:hint="eastAsia" w:ascii="宋体" w:hAnsi="宋体" w:cs="宋体"/>
          <w:b/>
          <w:bCs/>
          <w:sz w:val="22"/>
          <w:u w:val="single"/>
        </w:rPr>
        <w:t xml:space="preserve"> （单位名称）</w:t>
      </w:r>
      <w:r>
        <w:rPr>
          <w:rFonts w:hint="eastAsia" w:ascii="宋体" w:hAnsi="宋体" w:cs="宋体"/>
          <w:sz w:val="22"/>
        </w:rPr>
        <w:t xml:space="preserve">的 </w:t>
      </w:r>
      <w:r>
        <w:rPr>
          <w:rFonts w:hint="eastAsia" w:ascii="宋体" w:hAnsi="宋体" w:cs="宋体"/>
          <w:b/>
          <w:bCs/>
          <w:sz w:val="22"/>
          <w:u w:val="single"/>
        </w:rPr>
        <w:t xml:space="preserve">（项目名称） </w:t>
      </w:r>
      <w:r>
        <w:rPr>
          <w:rFonts w:hint="eastAsia" w:ascii="宋体" w:hAnsi="宋体" w:cs="宋体"/>
          <w:sz w:val="22"/>
        </w:rPr>
        <w:t>采购活动，提供的货物全部由符合政策要求的中小企业制造、相关企业（含联合体中的中小企业、签订分包意向协议的中小企业）的具体情况如下：</w:t>
      </w:r>
    </w:p>
    <w:p>
      <w:pPr>
        <w:ind w:firstLine="442" w:firstLineChars="200"/>
        <w:rPr>
          <w:rFonts w:ascii="宋体" w:hAnsi="宋体" w:cs="宋体"/>
          <w:sz w:val="22"/>
        </w:rPr>
      </w:pPr>
      <w:r>
        <w:rPr>
          <w:rFonts w:hint="eastAsia" w:ascii="宋体" w:hAnsi="宋体" w:cs="宋体"/>
          <w:b/>
          <w:bCs/>
          <w:sz w:val="22"/>
          <w:u w:val="single"/>
        </w:rPr>
        <w:t>（标的名称）</w:t>
      </w:r>
      <w:r>
        <w:rPr>
          <w:rFonts w:hint="eastAsia" w:ascii="宋体" w:hAnsi="宋体" w:cs="宋体"/>
          <w:sz w:val="22"/>
        </w:rPr>
        <w:t>，属于</w:t>
      </w:r>
      <w:r>
        <w:rPr>
          <w:rFonts w:hint="eastAsia" w:ascii="宋体" w:hAnsi="宋体" w:cs="宋体"/>
          <w:b/>
          <w:bCs/>
          <w:sz w:val="22"/>
          <w:u w:val="single"/>
        </w:rPr>
        <w:t>（采购文件中明确的所属行业）</w:t>
      </w:r>
      <w:r>
        <w:rPr>
          <w:rFonts w:hint="eastAsia" w:ascii="宋体" w:hAnsi="宋体" w:cs="宋体"/>
          <w:sz w:val="22"/>
        </w:rPr>
        <w:t>行业；制造商为</w:t>
      </w:r>
      <w:r>
        <w:rPr>
          <w:rFonts w:hint="eastAsia" w:ascii="宋体" w:hAnsi="宋体" w:cs="宋体"/>
          <w:b/>
          <w:bCs/>
          <w:sz w:val="22"/>
          <w:u w:val="single"/>
        </w:rPr>
        <w:t>（企业名称）</w:t>
      </w:r>
      <w:r>
        <w:rPr>
          <w:rFonts w:hint="eastAsia" w:ascii="宋体" w:hAnsi="宋体" w:cs="宋体"/>
          <w:sz w:val="22"/>
        </w:rPr>
        <w:t>，</w:t>
      </w:r>
      <w:r>
        <w:rPr>
          <w:rFonts w:hint="eastAsia" w:ascii="宋体" w:hAnsi="宋体" w:cs="宋体"/>
          <w:b/>
          <w:bCs/>
          <w:sz w:val="22"/>
        </w:rPr>
        <w:t>从业人员</w:t>
      </w:r>
      <w:r>
        <w:rPr>
          <w:rFonts w:hint="eastAsia" w:ascii="宋体" w:hAnsi="宋体" w:cs="宋体"/>
          <w:b/>
          <w:bCs/>
          <w:sz w:val="22"/>
          <w:u w:val="single"/>
        </w:rPr>
        <w:t xml:space="preserve">    </w:t>
      </w:r>
      <w:r>
        <w:rPr>
          <w:rFonts w:hint="eastAsia" w:ascii="宋体" w:hAnsi="宋体" w:cs="宋体"/>
          <w:b/>
          <w:bCs/>
          <w:sz w:val="22"/>
        </w:rPr>
        <w:t>人，营业收入为</w:t>
      </w:r>
      <w:r>
        <w:rPr>
          <w:rFonts w:hint="eastAsia" w:ascii="宋体" w:hAnsi="宋体" w:cs="宋体"/>
          <w:b/>
          <w:bCs/>
          <w:sz w:val="22"/>
          <w:u w:val="single"/>
        </w:rPr>
        <w:t xml:space="preserve">    </w:t>
      </w:r>
      <w:r>
        <w:rPr>
          <w:rFonts w:hint="eastAsia" w:ascii="宋体" w:hAnsi="宋体" w:cs="宋体"/>
          <w:b/>
          <w:bCs/>
          <w:sz w:val="22"/>
        </w:rPr>
        <w:t>万元，资产总额为</w:t>
      </w:r>
      <w:r>
        <w:rPr>
          <w:rFonts w:hint="eastAsia" w:ascii="宋体" w:hAnsi="宋体" w:cs="宋体"/>
          <w:b/>
          <w:bCs/>
          <w:sz w:val="22"/>
          <w:u w:val="single"/>
        </w:rPr>
        <w:t xml:space="preserve">    </w:t>
      </w:r>
      <w:r>
        <w:rPr>
          <w:rFonts w:hint="eastAsia" w:ascii="宋体" w:hAnsi="宋体" w:cs="宋体"/>
          <w:b/>
          <w:bCs/>
          <w:sz w:val="22"/>
        </w:rPr>
        <w:t>万元，属于</w:t>
      </w:r>
      <w:r>
        <w:rPr>
          <w:rFonts w:hint="eastAsia" w:ascii="宋体" w:hAnsi="宋体" w:cs="宋体"/>
          <w:b/>
          <w:bCs/>
          <w:sz w:val="22"/>
          <w:u w:val="single"/>
        </w:rPr>
        <w:t>（中型企业、小型企业、微型企业）</w:t>
      </w:r>
      <w:r>
        <w:rPr>
          <w:rFonts w:hint="eastAsia" w:ascii="宋体" w:hAnsi="宋体" w:cs="宋体"/>
          <w:sz w:val="22"/>
        </w:rPr>
        <w:t>；</w:t>
      </w:r>
    </w:p>
    <w:p>
      <w:pPr>
        <w:ind w:firstLine="442" w:firstLineChars="200"/>
        <w:rPr>
          <w:rFonts w:ascii="宋体" w:hAnsi="宋体" w:cs="宋体"/>
          <w:sz w:val="22"/>
        </w:rPr>
      </w:pPr>
      <w:r>
        <w:rPr>
          <w:rFonts w:hint="eastAsia" w:ascii="宋体" w:hAnsi="宋体" w:cs="宋体"/>
          <w:b/>
          <w:bCs/>
          <w:sz w:val="22"/>
          <w:u w:val="single"/>
        </w:rPr>
        <w:t>（标的名称）</w:t>
      </w:r>
      <w:r>
        <w:rPr>
          <w:rFonts w:hint="eastAsia" w:ascii="宋体" w:hAnsi="宋体" w:cs="宋体"/>
          <w:sz w:val="22"/>
        </w:rPr>
        <w:t>，属于</w:t>
      </w:r>
      <w:r>
        <w:rPr>
          <w:rFonts w:hint="eastAsia" w:ascii="宋体" w:hAnsi="宋体" w:cs="宋体"/>
          <w:b/>
          <w:bCs/>
          <w:sz w:val="22"/>
          <w:u w:val="single"/>
        </w:rPr>
        <w:t>（采购文件中明确的所属行业）</w:t>
      </w:r>
      <w:r>
        <w:rPr>
          <w:rFonts w:hint="eastAsia" w:ascii="宋体" w:hAnsi="宋体" w:cs="宋体"/>
          <w:sz w:val="22"/>
        </w:rPr>
        <w:t>行业；制造商为</w:t>
      </w:r>
      <w:r>
        <w:rPr>
          <w:rFonts w:hint="eastAsia" w:ascii="宋体" w:hAnsi="宋体" w:cs="宋体"/>
          <w:b/>
          <w:bCs/>
          <w:sz w:val="22"/>
          <w:u w:val="single"/>
        </w:rPr>
        <w:t>（企业名称）</w:t>
      </w:r>
      <w:r>
        <w:rPr>
          <w:rFonts w:hint="eastAsia" w:ascii="宋体" w:hAnsi="宋体" w:cs="宋体"/>
          <w:sz w:val="22"/>
        </w:rPr>
        <w:t>，</w:t>
      </w:r>
      <w:r>
        <w:rPr>
          <w:rFonts w:hint="eastAsia" w:ascii="宋体" w:hAnsi="宋体" w:cs="宋体"/>
          <w:b/>
          <w:bCs/>
          <w:sz w:val="22"/>
        </w:rPr>
        <w:t>从业人员</w:t>
      </w:r>
      <w:r>
        <w:rPr>
          <w:rFonts w:hint="eastAsia" w:ascii="宋体" w:hAnsi="宋体" w:cs="宋体"/>
          <w:b/>
          <w:bCs/>
          <w:sz w:val="22"/>
          <w:u w:val="single"/>
        </w:rPr>
        <w:t xml:space="preserve">    </w:t>
      </w:r>
      <w:r>
        <w:rPr>
          <w:rFonts w:hint="eastAsia" w:ascii="宋体" w:hAnsi="宋体" w:cs="宋体"/>
          <w:b/>
          <w:bCs/>
          <w:sz w:val="22"/>
        </w:rPr>
        <w:t>人，营业收入为</w:t>
      </w:r>
      <w:r>
        <w:rPr>
          <w:rFonts w:hint="eastAsia" w:ascii="宋体" w:hAnsi="宋体" w:cs="宋体"/>
          <w:b/>
          <w:bCs/>
          <w:sz w:val="22"/>
          <w:u w:val="single"/>
        </w:rPr>
        <w:t xml:space="preserve">    </w:t>
      </w:r>
      <w:r>
        <w:rPr>
          <w:rFonts w:hint="eastAsia" w:ascii="宋体" w:hAnsi="宋体" w:cs="宋体"/>
          <w:b/>
          <w:bCs/>
          <w:sz w:val="22"/>
        </w:rPr>
        <w:t>万元，资产总额为</w:t>
      </w:r>
      <w:r>
        <w:rPr>
          <w:rFonts w:hint="eastAsia" w:ascii="宋体" w:hAnsi="宋体" w:cs="宋体"/>
          <w:b/>
          <w:bCs/>
          <w:sz w:val="22"/>
          <w:u w:val="single"/>
        </w:rPr>
        <w:t xml:space="preserve">    </w:t>
      </w:r>
      <w:r>
        <w:rPr>
          <w:rFonts w:hint="eastAsia" w:ascii="宋体" w:hAnsi="宋体" w:cs="宋体"/>
          <w:b/>
          <w:bCs/>
          <w:sz w:val="22"/>
        </w:rPr>
        <w:t>万元，属于</w:t>
      </w:r>
      <w:r>
        <w:rPr>
          <w:rFonts w:hint="eastAsia" w:ascii="宋体" w:hAnsi="宋体" w:cs="宋体"/>
          <w:b/>
          <w:bCs/>
          <w:sz w:val="22"/>
          <w:u w:val="single"/>
        </w:rPr>
        <w:t>（中型企业、小型企业、微型企业）</w:t>
      </w:r>
      <w:r>
        <w:rPr>
          <w:rFonts w:hint="eastAsia" w:ascii="宋体" w:hAnsi="宋体" w:cs="宋体"/>
          <w:sz w:val="22"/>
        </w:rPr>
        <w:t>；</w:t>
      </w:r>
    </w:p>
    <w:p>
      <w:pPr>
        <w:ind w:firstLine="440" w:firstLineChars="200"/>
        <w:rPr>
          <w:rFonts w:ascii="宋体" w:hAnsi="宋体" w:cs="宋体"/>
          <w:sz w:val="22"/>
        </w:rPr>
      </w:pPr>
      <w:r>
        <w:rPr>
          <w:rFonts w:hint="eastAsia" w:ascii="宋体" w:hAnsi="宋体" w:cs="宋体"/>
          <w:sz w:val="22"/>
        </w:rPr>
        <w:t>.........</w:t>
      </w:r>
    </w:p>
    <w:p>
      <w:pPr>
        <w:ind w:firstLine="440" w:firstLineChars="200"/>
        <w:rPr>
          <w:rFonts w:ascii="宋体" w:hAnsi="宋体" w:cs="宋体"/>
          <w:sz w:val="22"/>
        </w:rPr>
      </w:pPr>
      <w:r>
        <w:rPr>
          <w:rFonts w:hint="eastAsia" w:ascii="宋体" w:hAnsi="宋体" w:cs="宋体"/>
          <w:sz w:val="22"/>
        </w:rPr>
        <w:t>以上企业，不属于大企业的分支机构，不存在控股股东为大企业的情形，也不存在与大企业的负责人为同一人的情形。</w:t>
      </w:r>
    </w:p>
    <w:p>
      <w:pPr>
        <w:ind w:firstLine="440" w:firstLineChars="200"/>
        <w:rPr>
          <w:rFonts w:ascii="宋体" w:hAnsi="宋体" w:cs="宋体"/>
          <w:sz w:val="22"/>
        </w:rPr>
      </w:pPr>
      <w:r>
        <w:rPr>
          <w:rFonts w:hint="eastAsia" w:ascii="宋体" w:hAnsi="宋体" w:cs="宋体"/>
          <w:sz w:val="22"/>
        </w:rPr>
        <w:t>本公司对上述声明的真实性负责。如有虚假，将依法承担相应责任。</w:t>
      </w:r>
    </w:p>
    <w:p>
      <w:pPr>
        <w:ind w:firstLine="440" w:firstLineChars="200"/>
        <w:rPr>
          <w:sz w:val="22"/>
        </w:rPr>
      </w:pPr>
      <w:r>
        <w:rPr>
          <w:rFonts w:hint="eastAsia" w:ascii="宋体" w:hAnsi="宋体" w:cs="宋体"/>
          <w:sz w:val="22"/>
        </w:rPr>
        <w:t>本公司知悉《政府采购促进中小企业发展管理办法》（财库〔2020〕 46 号）、《中小企业划型标准规定》（工信部联企〔2011〕 300 号）、《统计上大中小微型企业划分办法（2017）》等 规定，承诺提供的声明函内容是真实的，并知悉根据《政府 采购促进中小企业发展管理办法》（财库〔2020〕46 号）第二十条规定，本公司按照本办法规定提供声明函内容不实的，属于提供虚假材料谋取中标、成交，依照《政府采购法》等政府采购有关法律法规规定追究相应责任。</w:t>
      </w:r>
      <w:r>
        <w:rPr>
          <w:rFonts w:hint="eastAsia" w:ascii="宋体" w:hAnsi="宋体"/>
          <w:color w:val="FF0000"/>
        </w:rPr>
        <w:t xml:space="preserve">                     </w:t>
      </w:r>
    </w:p>
    <w:p>
      <w:pPr>
        <w:ind w:firstLine="440" w:firstLineChars="200"/>
        <w:jc w:val="center"/>
        <w:rPr>
          <w:rFonts w:ascii="宋体" w:hAnsi="宋体" w:cs="宋体"/>
          <w:sz w:val="22"/>
          <w:u w:val="single"/>
        </w:rPr>
      </w:pPr>
      <w:r>
        <w:rPr>
          <w:rFonts w:hint="eastAsia" w:ascii="宋体" w:hAnsi="宋体" w:cs="宋体"/>
          <w:sz w:val="22"/>
        </w:rPr>
        <w:t xml:space="preserve">                                 企业名称（盖章）：</w:t>
      </w:r>
      <w:r>
        <w:rPr>
          <w:rFonts w:hint="eastAsia" w:ascii="宋体" w:hAnsi="宋体" w:cs="宋体"/>
          <w:sz w:val="22"/>
          <w:u w:val="single"/>
        </w:rPr>
        <w:t xml:space="preserve">          </w:t>
      </w:r>
    </w:p>
    <w:p>
      <w:pPr>
        <w:spacing w:line="360" w:lineRule="exact"/>
        <w:ind w:firstLine="4620" w:firstLineChars="2200"/>
        <w:jc w:val="left"/>
        <w:rPr>
          <w:sz w:val="22"/>
          <w:u w:val="single"/>
        </w:rPr>
      </w:pPr>
      <w:r>
        <w:rPr>
          <w:rFonts w:hint="eastAsia" w:ascii="宋体" w:hAnsi="宋体"/>
        </w:rPr>
        <w:t xml:space="preserve">                   日期：</w:t>
      </w:r>
      <w:r>
        <w:rPr>
          <w:rFonts w:hint="eastAsia"/>
          <w:u w:val="single"/>
        </w:rPr>
        <w:t xml:space="preserve">               </w:t>
      </w:r>
    </w:p>
    <w:p>
      <w:pPr>
        <w:rPr>
          <w:b/>
          <w:spacing w:val="6"/>
          <w:sz w:val="22"/>
        </w:rPr>
      </w:pPr>
      <w:r>
        <w:rPr>
          <w:rFonts w:hint="eastAsia" w:ascii="宋体" w:hAnsi="宋体"/>
        </w:rPr>
        <w:t>（从业人员、营业收入、资产总额上一年度数据，无上一年度数据的新成立企业可不填报）</w:t>
      </w:r>
    </w:p>
    <w:p>
      <w:pPr>
        <w:spacing w:line="360" w:lineRule="exact"/>
        <w:jc w:val="center"/>
        <w:rPr>
          <w:b/>
          <w:spacing w:val="6"/>
          <w:sz w:val="22"/>
        </w:rPr>
      </w:pPr>
    </w:p>
    <w:p>
      <w:pPr>
        <w:spacing w:line="360" w:lineRule="exact"/>
        <w:jc w:val="center"/>
        <w:rPr>
          <w:b/>
          <w:spacing w:val="6"/>
          <w:sz w:val="22"/>
        </w:rPr>
      </w:pPr>
      <w:r>
        <w:rPr>
          <w:b/>
          <w:spacing w:val="6"/>
          <w:sz w:val="22"/>
        </w:rPr>
        <w:t>（二）残疾人福利性单位声明函</w:t>
      </w:r>
    </w:p>
    <w:p>
      <w:pPr>
        <w:spacing w:line="360" w:lineRule="exact"/>
        <w:jc w:val="left"/>
        <w:rPr>
          <w:spacing w:val="6"/>
          <w:sz w:val="22"/>
        </w:rPr>
      </w:pPr>
      <w:r>
        <w:rPr>
          <w:b/>
          <w:spacing w:val="6"/>
          <w:sz w:val="22"/>
        </w:rPr>
        <w:t xml:space="preserve">    </w:t>
      </w:r>
      <w:r>
        <w:rPr>
          <w:spacing w:val="6"/>
          <w:sz w:val="22"/>
        </w:rPr>
        <w:t>本单位郑重声明，根据《财政部 民政部 中国残疾人联合会关于促进残疾人就业政府采购政策的通知》（财库</w:t>
      </w:r>
      <w:r>
        <w:rPr>
          <w:sz w:val="22"/>
        </w:rPr>
        <w:t>〔2017〕 141</w:t>
      </w:r>
      <w:r>
        <w:rPr>
          <w:spacing w:val="6"/>
          <w:sz w:val="22"/>
        </w:rPr>
        <w:t>号）的规定，本单位为符合条件的残疾人福利性单位，</w:t>
      </w:r>
      <w:r>
        <w:rPr>
          <w:rFonts w:hint="eastAsia" w:ascii="宋体" w:hAnsi="宋体"/>
          <w:color w:val="000000"/>
          <w:szCs w:val="21"/>
        </w:rPr>
        <w:t>且本单位参加</w:t>
      </w:r>
      <w:r>
        <w:rPr>
          <w:rFonts w:hint="eastAsia" w:ascii="宋体" w:hAnsi="宋体"/>
          <w:b/>
          <w:color w:val="000000"/>
          <w:szCs w:val="21"/>
          <w:u w:val="single"/>
        </w:rPr>
        <w:t xml:space="preserve">   （采购单位名称）</w:t>
      </w:r>
      <w:r>
        <w:rPr>
          <w:rFonts w:ascii="宋体" w:hAnsi="宋体"/>
          <w:b/>
          <w:color w:val="000000"/>
          <w:szCs w:val="21"/>
          <w:u w:val="single"/>
        </w:rPr>
        <w:t>_</w:t>
      </w:r>
      <w:r>
        <w:rPr>
          <w:rFonts w:hint="eastAsia" w:ascii="宋体" w:hAnsi="宋体"/>
          <w:color w:val="000000"/>
          <w:szCs w:val="21"/>
        </w:rPr>
        <w:t>单位的</w:t>
      </w:r>
      <w:r>
        <w:rPr>
          <w:rFonts w:hint="eastAsia" w:ascii="宋体" w:hAnsi="宋体"/>
          <w:b/>
          <w:color w:val="000000"/>
          <w:szCs w:val="21"/>
          <w:u w:val="single"/>
        </w:rPr>
        <w:t>（采购项目名称）</w:t>
      </w:r>
      <w:r>
        <w:rPr>
          <w:rFonts w:hint="eastAsia" w:ascii="宋体" w:hAnsi="宋体"/>
          <w:color w:val="000000"/>
          <w:szCs w:val="21"/>
        </w:rPr>
        <w:t>项目采购活动，并提供</w:t>
      </w:r>
      <w:r>
        <w:rPr>
          <w:rFonts w:ascii="宋体" w:hAnsi="宋体"/>
          <w:color w:val="000000"/>
          <w:szCs w:val="21"/>
        </w:rPr>
        <w:t>:</w:t>
      </w:r>
      <w:r>
        <w:rPr>
          <w:rFonts w:hint="eastAsia" w:ascii="宋体" w:hAnsi="宋体"/>
          <w:b/>
          <w:color w:val="000000"/>
          <w:szCs w:val="21"/>
        </w:rPr>
        <w:t>□本单位制造的货物</w:t>
      </w:r>
      <w:r>
        <w:rPr>
          <w:rFonts w:ascii="宋体" w:hAnsi="宋体"/>
          <w:b/>
          <w:color w:val="000000"/>
          <w:szCs w:val="21"/>
        </w:rPr>
        <w:t>;</w:t>
      </w:r>
      <w:r>
        <w:rPr>
          <w:rFonts w:hint="eastAsia" w:ascii="宋体" w:hAnsi="宋体"/>
          <w:b/>
          <w:color w:val="000000"/>
          <w:szCs w:val="21"/>
        </w:rPr>
        <w:t>□提供其他残疾人福利性单位制造的货物（承诺人在□处打√）</w:t>
      </w:r>
      <w:r>
        <w:rPr>
          <w:spacing w:val="6"/>
          <w:sz w:val="22"/>
        </w:rPr>
        <w:t>（不包括使用非残疾人福利性单位注册商标的货物）。</w:t>
      </w:r>
    </w:p>
    <w:p>
      <w:pPr>
        <w:spacing w:line="360" w:lineRule="exact"/>
        <w:ind w:firstLine="464" w:firstLineChars="200"/>
        <w:jc w:val="left"/>
        <w:rPr>
          <w:spacing w:val="6"/>
          <w:sz w:val="22"/>
        </w:rPr>
      </w:pPr>
      <w:r>
        <w:rPr>
          <w:rFonts w:hint="eastAsia"/>
          <w:spacing w:val="6"/>
          <w:sz w:val="22"/>
        </w:rPr>
        <w:t>本单位对上述声明的真实性负责。如有虚假，将依法承担相应责任。</w:t>
      </w:r>
    </w:p>
    <w:p>
      <w:pPr>
        <w:spacing w:line="360" w:lineRule="exact"/>
        <w:ind w:firstLine="464" w:firstLineChars="200"/>
        <w:jc w:val="left"/>
        <w:rPr>
          <w:spacing w:val="6"/>
          <w:sz w:val="22"/>
        </w:rPr>
      </w:pPr>
      <w:r>
        <w:rPr>
          <w:rFonts w:hint="eastAsia"/>
          <w:spacing w:val="6"/>
          <w:sz w:val="22"/>
        </w:rPr>
        <w:t>本单位知悉《关于促进残疾人就业政府采购政策的通知》(财库(2017141号)的规定,承诺提供的声明函内容是真实的,如提供声明函内容不实,则依法追究相关法律责任。</w:t>
      </w:r>
    </w:p>
    <w:p>
      <w:pPr>
        <w:ind w:firstLine="5460" w:firstLineChars="2600"/>
        <w:jc w:val="left"/>
      </w:pPr>
      <w:r>
        <w:rPr>
          <w:rFonts w:hint="eastAsia" w:ascii="宋体" w:hAnsi="宋体"/>
        </w:rPr>
        <w:t>单位名称</w:t>
      </w:r>
      <w:r>
        <w:rPr>
          <w:rFonts w:hint="eastAsia" w:ascii="宋体" w:hAnsi="宋体" w:cs="宋体"/>
          <w:sz w:val="22"/>
        </w:rPr>
        <w:t>（盖章）</w:t>
      </w:r>
      <w:r>
        <w:rPr>
          <w:rFonts w:hint="eastAsia" w:ascii="宋体" w:hAnsi="宋体"/>
        </w:rPr>
        <w:t>：</w:t>
      </w:r>
      <w:r>
        <w:rPr>
          <w:rFonts w:hint="eastAsia"/>
          <w:u w:val="single"/>
        </w:rPr>
        <w:t xml:space="preserve">           </w:t>
      </w:r>
    </w:p>
    <w:p>
      <w:pPr>
        <w:ind w:firstLine="420" w:firstLineChars="200"/>
        <w:jc w:val="center"/>
        <w:rPr>
          <w:b/>
          <w:spacing w:val="6"/>
          <w:sz w:val="22"/>
        </w:rPr>
      </w:pPr>
      <w:r>
        <w:rPr>
          <w:rFonts w:hint="eastAsia" w:ascii="宋体" w:hAnsi="宋体"/>
        </w:rPr>
        <w:t xml:space="preserve">                                  日期：</w:t>
      </w:r>
      <w:r>
        <w:rPr>
          <w:rFonts w:hint="eastAsia"/>
          <w:u w:val="single"/>
        </w:rPr>
        <w:t xml:space="preserve">               </w:t>
      </w:r>
    </w:p>
    <w:p>
      <w:pPr>
        <w:spacing w:line="360" w:lineRule="exact"/>
        <w:jc w:val="center"/>
        <w:rPr>
          <w:b/>
          <w:spacing w:val="6"/>
          <w:sz w:val="22"/>
        </w:rPr>
      </w:pPr>
    </w:p>
    <w:p>
      <w:pPr>
        <w:spacing w:line="360" w:lineRule="exact"/>
        <w:jc w:val="center"/>
        <w:rPr>
          <w:b/>
          <w:bCs/>
          <w:sz w:val="22"/>
        </w:rPr>
      </w:pPr>
      <w:r>
        <w:rPr>
          <w:b/>
          <w:spacing w:val="6"/>
          <w:sz w:val="22"/>
        </w:rPr>
        <w:t>（三）</w:t>
      </w:r>
      <w:r>
        <w:rPr>
          <w:rFonts w:hint="eastAsia"/>
          <w:b/>
          <w:sz w:val="24"/>
        </w:rPr>
        <w:t>监狱企业声明函（</w:t>
      </w:r>
      <w:r>
        <w:rPr>
          <w:b/>
          <w:spacing w:val="6"/>
          <w:sz w:val="22"/>
        </w:rPr>
        <w:t>省级以上监狱管理局、戒毒管理局(含新疆生产建设兵团)出具的属于监狱企业的证明文件原件的扫描件</w:t>
      </w:r>
      <w:r>
        <w:rPr>
          <w:rFonts w:hint="eastAsia"/>
          <w:b/>
          <w:sz w:val="24"/>
        </w:rPr>
        <w:t>）</w:t>
      </w:r>
    </w:p>
    <w:p>
      <w:pPr>
        <w:spacing w:line="360" w:lineRule="auto"/>
        <w:ind w:firstLine="420" w:firstLineChars="200"/>
        <w:rPr>
          <w:rFonts w:ascii="宋体"/>
          <w:szCs w:val="21"/>
        </w:rPr>
      </w:pPr>
      <w:r>
        <w:rPr>
          <w:rFonts w:hint="eastAsia" w:ascii="宋体" w:hAnsi="宋体"/>
          <w:szCs w:val="21"/>
        </w:rPr>
        <w:t>本单位郑重声明，根据《财政部 司法部 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号）的规定，本单位为符合条件的监狱企业，且本单位参加</w:t>
      </w:r>
      <w:r>
        <w:rPr>
          <w:rFonts w:ascii="宋体" w:hAnsi="宋体"/>
          <w:b/>
          <w:szCs w:val="21"/>
        </w:rPr>
        <w:t>_</w:t>
      </w:r>
      <w:r>
        <w:rPr>
          <w:rFonts w:hint="eastAsia" w:ascii="宋体" w:hAnsi="宋体"/>
          <w:b/>
          <w:szCs w:val="21"/>
        </w:rPr>
        <w:t>（采购单位名称）</w:t>
      </w:r>
      <w:r>
        <w:rPr>
          <w:rFonts w:ascii="宋体" w:hAnsi="宋体"/>
          <w:b/>
          <w:szCs w:val="21"/>
        </w:rPr>
        <w:t>_</w:t>
      </w:r>
      <w:r>
        <w:rPr>
          <w:rFonts w:hint="eastAsia" w:ascii="宋体" w:hAnsi="宋体"/>
          <w:szCs w:val="21"/>
        </w:rPr>
        <w:t>单位的</w:t>
      </w:r>
      <w:r>
        <w:rPr>
          <w:rFonts w:ascii="宋体" w:hAnsi="宋体"/>
          <w:b/>
          <w:szCs w:val="21"/>
        </w:rPr>
        <w:t>_</w:t>
      </w:r>
      <w:r>
        <w:rPr>
          <w:rFonts w:hint="eastAsia" w:ascii="宋体" w:hAnsi="宋体"/>
          <w:b/>
          <w:szCs w:val="21"/>
        </w:rPr>
        <w:t>（采购项目名称）</w:t>
      </w:r>
      <w:r>
        <w:rPr>
          <w:rFonts w:ascii="宋体" w:hAnsi="宋体"/>
          <w:b/>
          <w:szCs w:val="21"/>
        </w:rPr>
        <w:t>_</w:t>
      </w:r>
      <w:r>
        <w:rPr>
          <w:rFonts w:hint="eastAsia" w:ascii="宋体" w:hAnsi="宋体"/>
          <w:szCs w:val="21"/>
        </w:rPr>
        <w:t>项目采购活动，并提供</w:t>
      </w:r>
      <w:r>
        <w:rPr>
          <w:rFonts w:ascii="宋体" w:hAnsi="宋体"/>
          <w:szCs w:val="21"/>
        </w:rPr>
        <w:t>:</w:t>
      </w:r>
      <w:r>
        <w:rPr>
          <w:rFonts w:hint="eastAsia" w:ascii="宋体" w:hAnsi="宋体"/>
          <w:b/>
          <w:szCs w:val="21"/>
        </w:rPr>
        <w:t>□本单位制造的货物</w:t>
      </w:r>
      <w:r>
        <w:rPr>
          <w:rFonts w:ascii="宋体" w:hAnsi="宋体"/>
          <w:b/>
          <w:szCs w:val="21"/>
        </w:rPr>
        <w:t>;</w:t>
      </w:r>
      <w:r>
        <w:rPr>
          <w:rFonts w:hint="eastAsia" w:ascii="宋体" w:hAnsi="宋体"/>
          <w:b/>
          <w:szCs w:val="21"/>
        </w:rPr>
        <w:t>□提供其他监狱企业制造的货物（承诺人在□处打√）</w:t>
      </w:r>
      <w:r>
        <w:rPr>
          <w:rFonts w:hint="eastAsia" w:ascii="宋体" w:hAnsi="宋体"/>
          <w:szCs w:val="21"/>
        </w:rPr>
        <w:t>。</w:t>
      </w:r>
    </w:p>
    <w:p>
      <w:pPr>
        <w:spacing w:line="360" w:lineRule="auto"/>
        <w:ind w:firstLine="420" w:firstLineChars="200"/>
        <w:rPr>
          <w:rFonts w:ascii="宋体"/>
          <w:szCs w:val="21"/>
        </w:rPr>
      </w:pPr>
      <w:r>
        <w:rPr>
          <w:rFonts w:hint="eastAsia" w:ascii="宋体" w:hAnsi="宋体"/>
          <w:szCs w:val="21"/>
        </w:rPr>
        <w:t>本单位对上述声明的真实性负责。如有虚假，将依法承担相应责任。</w:t>
      </w:r>
    </w:p>
    <w:p>
      <w:pPr>
        <w:spacing w:line="360" w:lineRule="auto"/>
        <w:rPr>
          <w:rFonts w:ascii="宋体"/>
          <w:szCs w:val="21"/>
        </w:rPr>
      </w:pPr>
      <w:r>
        <w:rPr>
          <w:rFonts w:hint="eastAsia" w:ascii="宋体" w:hAnsi="宋体"/>
          <w:szCs w:val="21"/>
        </w:rPr>
        <w:t>附：省级以上监狱管理局、戒毒管理局（含新疆生产建设兵团）出具的监狱企业证明文件。</w:t>
      </w:r>
    </w:p>
    <w:p>
      <w:pPr>
        <w:spacing w:line="360" w:lineRule="auto"/>
        <w:ind w:firstLine="5460" w:firstLineChars="2600"/>
        <w:jc w:val="left"/>
      </w:pPr>
      <w:r>
        <w:rPr>
          <w:rFonts w:hint="eastAsia" w:ascii="宋体" w:hAnsi="宋体"/>
        </w:rPr>
        <w:t>单位名称</w:t>
      </w:r>
      <w:r>
        <w:rPr>
          <w:rFonts w:hint="eastAsia" w:ascii="宋体" w:hAnsi="宋体" w:cs="宋体"/>
          <w:sz w:val="22"/>
        </w:rPr>
        <w:t>（盖章）</w:t>
      </w:r>
      <w:r>
        <w:rPr>
          <w:rFonts w:hint="eastAsia" w:ascii="宋体" w:hAnsi="宋体"/>
        </w:rPr>
        <w:t>：</w:t>
      </w:r>
      <w:r>
        <w:rPr>
          <w:rFonts w:hint="eastAsia"/>
          <w:u w:val="single"/>
        </w:rPr>
        <w:t xml:space="preserve">           </w:t>
      </w:r>
    </w:p>
    <w:p>
      <w:pPr>
        <w:spacing w:line="360" w:lineRule="auto"/>
        <w:ind w:firstLine="420" w:firstLineChars="200"/>
        <w:jc w:val="center"/>
      </w:pPr>
      <w:r>
        <w:rPr>
          <w:rFonts w:hint="eastAsia" w:ascii="宋体" w:hAnsi="宋体"/>
        </w:rPr>
        <w:t xml:space="preserve">                                  日期：</w:t>
      </w:r>
      <w:r>
        <w:rPr>
          <w:rFonts w:hint="eastAsia"/>
          <w:u w:val="single"/>
        </w:rPr>
        <w:t xml:space="preserve">               </w:t>
      </w:r>
    </w:p>
    <w:p>
      <w:pPr>
        <w:spacing w:line="360" w:lineRule="exact"/>
        <w:ind w:firstLine="440" w:firstLineChars="200"/>
      </w:pPr>
      <w:r>
        <w:rPr>
          <w:bCs/>
          <w:sz w:val="22"/>
        </w:rPr>
        <w:br w:type="page"/>
      </w:r>
    </w:p>
    <w:p>
      <w:pPr>
        <w:numPr>
          <w:ilvl w:val="0"/>
          <w:numId w:val="6"/>
        </w:numPr>
        <w:jc w:val="center"/>
        <w:outlineLvl w:val="2"/>
        <w:rPr>
          <w:b/>
          <w:bCs/>
          <w:sz w:val="32"/>
          <w:szCs w:val="32"/>
        </w:rPr>
      </w:pPr>
      <w:r>
        <w:rPr>
          <w:b/>
          <w:bCs/>
          <w:sz w:val="32"/>
          <w:szCs w:val="32"/>
        </w:rPr>
        <w:t>招标文件要求的其他内容及投标人认为需要加以说明的其他内容</w:t>
      </w:r>
    </w:p>
    <w:p>
      <w:r>
        <w:br w:type="page"/>
      </w:r>
    </w:p>
    <w:p/>
    <w:p/>
    <w:p/>
    <w:p/>
    <w:p/>
    <w:p/>
    <w:p/>
    <w:p/>
    <w:p/>
    <w:p/>
    <w:p/>
    <w:p/>
    <w:p/>
    <w:p/>
    <w:p/>
    <w:p/>
    <w:p>
      <w:pPr>
        <w:pStyle w:val="5"/>
        <w:rPr>
          <w:bCs/>
          <w:kern w:val="28"/>
          <w:sz w:val="44"/>
          <w:szCs w:val="44"/>
        </w:rPr>
      </w:pPr>
      <w:r>
        <w:rPr>
          <w:bCs/>
          <w:kern w:val="28"/>
          <w:sz w:val="44"/>
          <w:szCs w:val="44"/>
        </w:rPr>
        <w:t xml:space="preserve">第四章  </w:t>
      </w:r>
      <w:r>
        <w:rPr>
          <w:rFonts w:hint="eastAsia"/>
          <w:bCs/>
          <w:kern w:val="28"/>
          <w:sz w:val="44"/>
          <w:szCs w:val="44"/>
        </w:rPr>
        <w:t>合同条款及格式</w:t>
      </w:r>
    </w:p>
    <w:p>
      <w:pPr>
        <w:pStyle w:val="4"/>
        <w:numPr>
          <w:ilvl w:val="0"/>
          <w:numId w:val="11"/>
        </w:numPr>
        <w:rPr>
          <w:rFonts w:ascii="宋体" w:hAnsi="宋体" w:cs="宋体"/>
          <w:b/>
          <w:kern w:val="0"/>
          <w:sz w:val="24"/>
        </w:rPr>
      </w:pPr>
      <w:r>
        <w:rPr>
          <w:kern w:val="2"/>
          <w:sz w:val="32"/>
        </w:rPr>
        <w:br w:type="page"/>
      </w:r>
      <w:r>
        <w:rPr>
          <w:rFonts w:hint="eastAsia" w:ascii="宋体" w:hAnsi="宋体" w:cs="宋体"/>
          <w:b/>
          <w:kern w:val="0"/>
          <w:sz w:val="24"/>
        </w:rPr>
        <w:t>重要提示</w:t>
      </w:r>
    </w:p>
    <w:p>
      <w:pPr>
        <w:ind w:firstLine="420" w:firstLineChars="200"/>
        <w:rPr>
          <w:rFonts w:ascii="宋体" w:hAnsi="宋体" w:cs="宋体"/>
        </w:rPr>
      </w:pPr>
    </w:p>
    <w:p>
      <w:pPr>
        <w:ind w:firstLine="420" w:firstLineChars="200"/>
        <w:rPr>
          <w:rFonts w:ascii="宋体" w:hAnsi="宋体" w:cs="宋体"/>
        </w:rPr>
      </w:pPr>
      <w:r>
        <w:rPr>
          <w:rFonts w:hint="eastAsia" w:ascii="宋体" w:hAnsi="宋体" w:cs="宋体"/>
        </w:rPr>
        <w:t>（一）参照《深圳经济特区政府采购条例》规定：供应商在政府采购中，未按本条例规定签订、履行采购合同，造成严重后果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pPr>
        <w:ind w:firstLine="420" w:firstLineChars="200"/>
        <w:rPr>
          <w:rFonts w:ascii="宋体" w:hAnsi="宋体" w:cs="宋体"/>
          <w:highlight w:val="none"/>
        </w:rPr>
      </w:pPr>
      <w:r>
        <w:rPr>
          <w:rFonts w:hint="eastAsia" w:ascii="宋体" w:hAnsi="宋体" w:cs="宋体"/>
        </w:rPr>
        <w:t>（二）供应商必</w:t>
      </w:r>
      <w:r>
        <w:rPr>
          <w:rFonts w:hint="eastAsia" w:ascii="宋体" w:hAnsi="宋体" w:cs="宋体"/>
          <w:highlight w:val="none"/>
        </w:rPr>
        <w:t>须诚信投标，对项目需求进行实质性响应。采购单位将组织聘请第三方专业机构（必要时，邀请参加本项目投标的供应商）实施项目履约验收，如未按合同履约，将按上述第（一）条规定进行处理。</w:t>
      </w:r>
    </w:p>
    <w:p>
      <w:pPr>
        <w:ind w:firstLine="420" w:firstLineChars="200"/>
        <w:rPr>
          <w:rFonts w:ascii="宋体" w:hAnsi="宋体" w:cs="宋体"/>
        </w:rPr>
      </w:pPr>
    </w:p>
    <w:p>
      <w:pPr>
        <w:pStyle w:val="4"/>
        <w:numPr>
          <w:ilvl w:val="0"/>
          <w:numId w:val="11"/>
        </w:numPr>
        <w:rPr>
          <w:bCs w:val="0"/>
          <w:color w:val="000000"/>
          <w:kern w:val="2"/>
          <w:sz w:val="21"/>
        </w:rPr>
      </w:pPr>
      <w:r>
        <w:rPr>
          <w:kern w:val="2"/>
          <w:sz w:val="32"/>
        </w:rPr>
        <w:br w:type="page"/>
      </w:r>
      <w:r>
        <w:rPr>
          <w:b/>
          <w:color w:val="000000"/>
          <w:kern w:val="2"/>
          <w:sz w:val="21"/>
        </w:rPr>
        <w:t>合同条款及格式</w:t>
      </w:r>
    </w:p>
    <w:p>
      <w:pPr>
        <w:jc w:val="center"/>
        <w:rPr>
          <w:rFonts w:ascii="Calibri" w:hAnsi="Calibri"/>
          <w:color w:val="000000"/>
        </w:rPr>
      </w:pPr>
      <w:r>
        <w:rPr>
          <w:rFonts w:ascii="Calibri" w:hAnsi="Calibri"/>
          <w:color w:val="000000"/>
        </w:rPr>
        <w:t>有专业类别的格式合同范本请选择相应的合同</w:t>
      </w:r>
    </w:p>
    <w:p>
      <w:pPr>
        <w:jc w:val="center"/>
        <w:rPr>
          <w:rFonts w:ascii="Calibri" w:hAnsi="Calibri"/>
          <w:color w:val="000000"/>
        </w:rPr>
      </w:pPr>
      <w:r>
        <w:rPr>
          <w:rFonts w:ascii="Calibri" w:hAnsi="Calibri"/>
          <w:color w:val="000000"/>
        </w:rPr>
        <w:t>（仅供参考）</w:t>
      </w:r>
    </w:p>
    <w:p>
      <w:pPr>
        <w:jc w:val="left"/>
        <w:rPr>
          <w:rFonts w:ascii="Calibri" w:hAnsi="Calibri"/>
          <w:color w:val="000000"/>
          <w:szCs w:val="21"/>
        </w:rPr>
      </w:pPr>
      <w:r>
        <w:rPr>
          <w:rFonts w:ascii="Calibri" w:hAnsi="Calibri"/>
          <w:color w:val="000000"/>
          <w:szCs w:val="21"/>
        </w:rPr>
        <w:t>采购人：</w:t>
      </w:r>
      <w:r>
        <w:rPr>
          <w:rFonts w:ascii="Calibri" w:hAnsi="Calibri"/>
          <w:color w:val="000000"/>
          <w:szCs w:val="21"/>
          <w:u w:val="single"/>
        </w:rPr>
        <w:t xml:space="preserve">           </w:t>
      </w:r>
    </w:p>
    <w:p>
      <w:pPr>
        <w:jc w:val="left"/>
        <w:rPr>
          <w:rFonts w:ascii="Calibri" w:hAnsi="Calibri"/>
          <w:color w:val="000000"/>
          <w:szCs w:val="21"/>
        </w:rPr>
      </w:pPr>
      <w:r>
        <w:rPr>
          <w:rFonts w:ascii="Calibri" w:hAnsi="Calibri"/>
          <w:color w:val="000000"/>
          <w:szCs w:val="21"/>
        </w:rPr>
        <w:t>供应商：</w:t>
      </w:r>
      <w:r>
        <w:rPr>
          <w:rFonts w:ascii="Calibri" w:hAnsi="Calibri"/>
          <w:color w:val="000000"/>
          <w:szCs w:val="21"/>
          <w:u w:val="single"/>
        </w:rPr>
        <w:t xml:space="preserve">           </w:t>
      </w:r>
    </w:p>
    <w:p>
      <w:pPr>
        <w:ind w:firstLine="560"/>
        <w:jc w:val="left"/>
        <w:rPr>
          <w:rFonts w:ascii="Calibri" w:hAnsi="Calibri"/>
          <w:color w:val="000000"/>
          <w:szCs w:val="21"/>
        </w:rPr>
      </w:pPr>
      <w:r>
        <w:rPr>
          <w:rFonts w:ascii="Calibri" w:hAnsi="Calibri"/>
          <w:color w:val="000000"/>
          <w:szCs w:val="21"/>
        </w:rPr>
        <w:t>根</w:t>
      </w:r>
      <w:r>
        <w:rPr>
          <w:rFonts w:ascii="Calibri" w:hAnsi="Calibri"/>
          <w:color w:val="000000"/>
          <w:szCs w:val="21"/>
          <w:highlight w:val="none"/>
        </w:rPr>
        <w:t>据深圳市</w:t>
      </w:r>
      <w:r>
        <w:rPr>
          <w:rFonts w:hint="eastAsia" w:ascii="Calibri" w:hAnsi="Calibri"/>
          <w:color w:val="000000"/>
          <w:szCs w:val="21"/>
          <w:highlight w:val="none"/>
          <w:lang w:val="en-US" w:eastAsia="zh-CN"/>
        </w:rPr>
        <w:t>第二人民医院</w:t>
      </w:r>
      <w:r>
        <w:rPr>
          <w:rFonts w:ascii="Calibri" w:hAnsi="Calibri"/>
          <w:color w:val="000000"/>
          <w:szCs w:val="21"/>
          <w:highlight w:val="none"/>
        </w:rPr>
        <w:t>组织的</w:t>
      </w:r>
      <w:r>
        <w:rPr>
          <w:rFonts w:ascii="Calibri" w:hAnsi="Calibri"/>
          <w:color w:val="000000"/>
          <w:szCs w:val="21"/>
          <w:highlight w:val="none"/>
          <w:u w:val="single"/>
        </w:rPr>
        <w:t xml:space="preserve">        </w:t>
      </w:r>
      <w:r>
        <w:rPr>
          <w:rFonts w:ascii="Calibri" w:hAnsi="Calibri"/>
          <w:color w:val="000000"/>
          <w:szCs w:val="21"/>
          <w:highlight w:val="none"/>
        </w:rPr>
        <w:t>项目（</w:t>
      </w:r>
      <w:r>
        <w:rPr>
          <w:rFonts w:hint="eastAsia" w:ascii="Calibri" w:hAnsi="Calibri"/>
          <w:color w:val="000000"/>
          <w:szCs w:val="21"/>
          <w:highlight w:val="none"/>
        </w:rPr>
        <w:t>项目</w:t>
      </w:r>
      <w:r>
        <w:rPr>
          <w:rFonts w:ascii="Calibri" w:hAnsi="Calibri"/>
          <w:color w:val="000000"/>
          <w:szCs w:val="21"/>
          <w:highlight w:val="none"/>
        </w:rPr>
        <w:t>编号：</w:t>
      </w:r>
      <w:r>
        <w:rPr>
          <w:rFonts w:ascii="Calibri" w:hAnsi="Calibri"/>
          <w:color w:val="000000"/>
          <w:szCs w:val="21"/>
          <w:highlight w:val="none"/>
          <w:u w:val="single"/>
        </w:rPr>
        <w:t xml:space="preserve">        </w:t>
      </w:r>
      <w:r>
        <w:rPr>
          <w:rFonts w:ascii="Calibri" w:hAnsi="Calibri"/>
          <w:color w:val="000000"/>
          <w:szCs w:val="21"/>
          <w:highlight w:val="none"/>
        </w:rPr>
        <w:t>）的投标结果，由</w:t>
      </w:r>
      <w:r>
        <w:rPr>
          <w:rFonts w:ascii="Calibri" w:hAnsi="Calibri"/>
          <w:color w:val="000000"/>
          <w:szCs w:val="21"/>
          <w:highlight w:val="none"/>
          <w:u w:val="single"/>
        </w:rPr>
        <w:t xml:space="preserve">       </w:t>
      </w:r>
      <w:r>
        <w:rPr>
          <w:rFonts w:ascii="Calibri" w:hAnsi="Calibri"/>
          <w:color w:val="000000"/>
          <w:szCs w:val="21"/>
          <w:highlight w:val="none"/>
        </w:rPr>
        <w:t>单位为中标方。按照《中华人民共和国</w:t>
      </w:r>
      <w:r>
        <w:rPr>
          <w:rFonts w:hint="eastAsia" w:ascii="Calibri" w:hAnsi="Calibri"/>
          <w:color w:val="000000"/>
          <w:szCs w:val="21"/>
          <w:highlight w:val="none"/>
        </w:rPr>
        <w:t>民</w:t>
      </w:r>
      <w:r>
        <w:rPr>
          <w:rFonts w:ascii="Calibri" w:hAnsi="Calibri"/>
          <w:color w:val="000000"/>
          <w:szCs w:val="21"/>
          <w:highlight w:val="none"/>
        </w:rPr>
        <w:t>法</w:t>
      </w:r>
      <w:r>
        <w:rPr>
          <w:rFonts w:hint="eastAsia" w:ascii="Calibri" w:hAnsi="Calibri"/>
          <w:color w:val="000000"/>
          <w:szCs w:val="21"/>
          <w:highlight w:val="none"/>
        </w:rPr>
        <w:t>典</w:t>
      </w:r>
      <w:r>
        <w:rPr>
          <w:rFonts w:ascii="Calibri" w:hAnsi="Calibri"/>
          <w:color w:val="000000"/>
          <w:szCs w:val="21"/>
          <w:highlight w:val="none"/>
        </w:rPr>
        <w:t>》和《深圳经济特区政府采购条例》，经深圳市</w:t>
      </w:r>
      <w:r>
        <w:rPr>
          <w:rFonts w:ascii="Calibri" w:hAnsi="Calibri"/>
          <w:color w:val="000000"/>
          <w:szCs w:val="21"/>
          <w:highlight w:val="none"/>
          <w:u w:val="single"/>
        </w:rPr>
        <w:t xml:space="preserve">           </w:t>
      </w:r>
      <w:r>
        <w:rPr>
          <w:rFonts w:ascii="Calibri" w:hAnsi="Calibri"/>
          <w:color w:val="000000"/>
          <w:szCs w:val="21"/>
          <w:highlight w:val="none"/>
        </w:rPr>
        <w:t>（以下简称甲方）和</w:t>
      </w:r>
      <w:r>
        <w:rPr>
          <w:rFonts w:ascii="Calibri" w:hAnsi="Calibri"/>
          <w:color w:val="000000"/>
          <w:szCs w:val="21"/>
          <w:highlight w:val="none"/>
          <w:u w:val="single"/>
        </w:rPr>
        <w:t xml:space="preserve">           </w:t>
      </w:r>
      <w:r>
        <w:rPr>
          <w:rFonts w:ascii="Calibri" w:hAnsi="Calibri"/>
          <w:color w:val="000000"/>
          <w:szCs w:val="21"/>
          <w:highlight w:val="none"/>
        </w:rPr>
        <w:t>单位（以下简称乙方）协商，</w:t>
      </w:r>
      <w:r>
        <w:rPr>
          <w:rFonts w:ascii="Calibri" w:hAnsi="Calibri"/>
          <w:color w:val="000000"/>
          <w:szCs w:val="21"/>
        </w:rPr>
        <w:t>达成以下合同条款：</w:t>
      </w:r>
    </w:p>
    <w:p>
      <w:pPr>
        <w:ind w:firstLine="560"/>
        <w:jc w:val="left"/>
        <w:rPr>
          <w:rFonts w:ascii="Calibri" w:hAnsi="Calibri"/>
          <w:b/>
          <w:color w:val="000000"/>
          <w:szCs w:val="21"/>
        </w:rPr>
      </w:pPr>
      <w:r>
        <w:rPr>
          <w:rFonts w:ascii="Calibri" w:hAnsi="Calibri"/>
          <w:b/>
          <w:color w:val="000000"/>
          <w:szCs w:val="21"/>
        </w:rPr>
        <w:t>第一条  合同标的</w:t>
      </w:r>
    </w:p>
    <w:p>
      <w:pPr>
        <w:ind w:firstLine="560"/>
        <w:jc w:val="left"/>
        <w:rPr>
          <w:rFonts w:ascii="Calibri" w:hAnsi="Calibri"/>
          <w:color w:val="000000"/>
          <w:szCs w:val="21"/>
        </w:rPr>
      </w:pPr>
      <w:r>
        <w:rPr>
          <w:rFonts w:ascii="Calibri" w:hAnsi="Calibri"/>
          <w:color w:val="000000"/>
          <w:szCs w:val="21"/>
        </w:rPr>
        <w:t>乙方根据甲方需求提供下列货物：</w:t>
      </w:r>
    </w:p>
    <w:p>
      <w:pPr>
        <w:ind w:firstLine="560"/>
        <w:jc w:val="left"/>
        <w:rPr>
          <w:rFonts w:ascii="Calibri" w:hAnsi="Calibri"/>
          <w:color w:val="000000"/>
          <w:szCs w:val="21"/>
        </w:rPr>
      </w:pPr>
      <w:r>
        <w:rPr>
          <w:rFonts w:ascii="Calibri" w:hAnsi="Calibri"/>
          <w:color w:val="000000"/>
          <w:szCs w:val="21"/>
        </w:rPr>
        <w:t>货物名称、规格及数量详见</w:t>
      </w:r>
      <w:r>
        <w:rPr>
          <w:rFonts w:ascii="Calibri" w:hAnsi="Calibri"/>
          <w:b/>
          <w:color w:val="000000"/>
          <w:szCs w:val="21"/>
          <w:u w:val="single"/>
        </w:rPr>
        <w:t xml:space="preserve">                  </w:t>
      </w:r>
      <w:r>
        <w:rPr>
          <w:rFonts w:ascii="Calibri" w:hAnsi="Calibri"/>
          <w:color w:val="000000"/>
          <w:szCs w:val="21"/>
        </w:rPr>
        <w:t>。</w:t>
      </w:r>
    </w:p>
    <w:p>
      <w:pPr>
        <w:ind w:firstLine="560"/>
        <w:jc w:val="left"/>
        <w:rPr>
          <w:rFonts w:ascii="Calibri" w:hAnsi="Calibri"/>
          <w:b/>
          <w:color w:val="000000"/>
          <w:szCs w:val="21"/>
        </w:rPr>
      </w:pPr>
      <w:r>
        <w:rPr>
          <w:rFonts w:ascii="Calibri" w:hAnsi="Calibri"/>
          <w:b/>
          <w:color w:val="000000"/>
          <w:szCs w:val="21"/>
        </w:rPr>
        <w:t>第二条  合同价款</w:t>
      </w:r>
    </w:p>
    <w:p>
      <w:pPr>
        <w:ind w:firstLine="560"/>
        <w:jc w:val="left"/>
        <w:rPr>
          <w:rFonts w:ascii="Calibri" w:hAnsi="Calibri"/>
          <w:color w:val="000000"/>
          <w:szCs w:val="21"/>
        </w:rPr>
      </w:pPr>
      <w:r>
        <w:rPr>
          <w:rFonts w:ascii="Calibri" w:hAnsi="Calibri"/>
          <w:color w:val="000000"/>
          <w:szCs w:val="21"/>
        </w:rPr>
        <w:t>本合同项下总价款为</w:t>
      </w:r>
      <w:r>
        <w:rPr>
          <w:rFonts w:ascii="Calibri" w:hAnsi="Calibri"/>
          <w:color w:val="000000"/>
          <w:szCs w:val="21"/>
          <w:u w:val="single"/>
        </w:rPr>
        <w:t xml:space="preserve">              </w:t>
      </w:r>
      <w:r>
        <w:rPr>
          <w:rFonts w:ascii="Calibri" w:hAnsi="Calibri"/>
          <w:color w:val="000000"/>
          <w:szCs w:val="21"/>
        </w:rPr>
        <w:t>（大写）人民币，分项价款详见</w:t>
      </w:r>
      <w:r>
        <w:rPr>
          <w:rFonts w:ascii="Calibri" w:hAnsi="Calibri"/>
          <w:b/>
          <w:color w:val="000000"/>
          <w:szCs w:val="21"/>
          <w:u w:val="single"/>
        </w:rPr>
        <w:t xml:space="preserve">          </w:t>
      </w:r>
      <w:r>
        <w:rPr>
          <w:rFonts w:ascii="Calibri" w:hAnsi="Calibri"/>
          <w:color w:val="000000"/>
          <w:szCs w:val="21"/>
        </w:rPr>
        <w:t>。本合同总价款已包括乙方为履行本合同义务所发生的一切费用，系固定不变价格，且不随通货膨胀的影响而波动。</w:t>
      </w:r>
    </w:p>
    <w:p>
      <w:pPr>
        <w:ind w:firstLine="560"/>
        <w:jc w:val="left"/>
        <w:rPr>
          <w:rFonts w:ascii="Calibri" w:hAnsi="Calibri"/>
          <w:b/>
          <w:color w:val="000000"/>
          <w:szCs w:val="21"/>
        </w:rPr>
      </w:pPr>
      <w:r>
        <w:rPr>
          <w:rFonts w:ascii="Calibri" w:hAnsi="Calibri"/>
          <w:b/>
          <w:color w:val="000000"/>
          <w:szCs w:val="21"/>
        </w:rPr>
        <w:t>第三条  权利保证</w:t>
      </w:r>
    </w:p>
    <w:p>
      <w:pPr>
        <w:ind w:firstLine="560"/>
        <w:jc w:val="left"/>
        <w:rPr>
          <w:rFonts w:ascii="Calibri" w:hAnsi="Calibri"/>
          <w:color w:val="000000"/>
          <w:szCs w:val="21"/>
        </w:rPr>
      </w:pPr>
      <w:r>
        <w:rPr>
          <w:rFonts w:ascii="Calibri" w:hAnsi="Calibri"/>
          <w:color w:val="000000"/>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ind w:firstLine="560"/>
        <w:jc w:val="left"/>
        <w:rPr>
          <w:rFonts w:ascii="Calibri" w:hAnsi="Calibri"/>
          <w:b/>
          <w:color w:val="000000"/>
          <w:szCs w:val="21"/>
        </w:rPr>
      </w:pPr>
      <w:r>
        <w:rPr>
          <w:rFonts w:ascii="Calibri" w:hAnsi="Calibri"/>
          <w:b/>
          <w:color w:val="000000"/>
          <w:szCs w:val="21"/>
        </w:rPr>
        <w:t>第四条  质量保证</w:t>
      </w:r>
    </w:p>
    <w:p>
      <w:pPr>
        <w:ind w:firstLine="560"/>
        <w:jc w:val="left"/>
        <w:rPr>
          <w:rFonts w:ascii="Calibri" w:hAnsi="Calibri"/>
          <w:color w:val="000000"/>
          <w:szCs w:val="21"/>
        </w:rPr>
      </w:pPr>
      <w:r>
        <w:rPr>
          <w:rFonts w:ascii="Calibri" w:hAnsi="Calibri"/>
          <w:color w:val="000000"/>
          <w:szCs w:val="21"/>
        </w:rPr>
        <w:t>1、乙方所提供的货物的技术规格符合采购文件规定的技术规格，货物符合中华人民共和国的设计和制造生产标准或行业标准。</w:t>
      </w:r>
    </w:p>
    <w:p>
      <w:pPr>
        <w:ind w:firstLine="560"/>
        <w:jc w:val="left"/>
        <w:rPr>
          <w:rFonts w:ascii="Calibri" w:hAnsi="Calibri"/>
          <w:color w:val="000000"/>
          <w:szCs w:val="21"/>
        </w:rPr>
      </w:pPr>
      <w:r>
        <w:rPr>
          <w:rFonts w:ascii="Calibri" w:hAnsi="Calibri"/>
          <w:color w:val="000000"/>
          <w:szCs w:val="21"/>
        </w:rPr>
        <w:t>2、乙方应保证货物是全新、未使用过的原装合格正品（包括零部件），并完全符合甲方要求的质量、规格和性能的要求。如货物安装或配置了软件的，乙方保证相关软件均为正版软件。</w:t>
      </w:r>
    </w:p>
    <w:p>
      <w:pPr>
        <w:ind w:firstLine="560"/>
        <w:jc w:val="left"/>
        <w:rPr>
          <w:rFonts w:ascii="Calibri" w:hAnsi="Calibri"/>
          <w:color w:val="000000"/>
          <w:szCs w:val="21"/>
        </w:rPr>
      </w:pPr>
      <w:r>
        <w:rPr>
          <w:rFonts w:ascii="Calibri" w:hAnsi="Calibri"/>
          <w:color w:val="000000"/>
          <w:szCs w:val="21"/>
        </w:rPr>
        <w:t>3、乙方保证交货时一并提供货物的质量合格凭证或文件。</w:t>
      </w:r>
    </w:p>
    <w:p>
      <w:pPr>
        <w:ind w:firstLine="560"/>
        <w:jc w:val="left"/>
        <w:rPr>
          <w:rFonts w:ascii="Calibri" w:hAnsi="Calibri"/>
          <w:b/>
          <w:color w:val="000000"/>
          <w:szCs w:val="21"/>
        </w:rPr>
      </w:pPr>
      <w:r>
        <w:rPr>
          <w:rFonts w:ascii="Calibri" w:hAnsi="Calibri"/>
          <w:b/>
          <w:color w:val="000000"/>
          <w:szCs w:val="21"/>
        </w:rPr>
        <w:t>第五条  交货和验收</w:t>
      </w:r>
    </w:p>
    <w:p>
      <w:pPr>
        <w:ind w:firstLine="560"/>
        <w:jc w:val="left"/>
        <w:rPr>
          <w:rFonts w:ascii="Calibri" w:hAnsi="Calibri"/>
          <w:color w:val="000000"/>
          <w:szCs w:val="21"/>
        </w:rPr>
      </w:pPr>
      <w:r>
        <w:rPr>
          <w:rFonts w:ascii="Calibri" w:hAnsi="Calibri"/>
          <w:color w:val="000000"/>
          <w:szCs w:val="21"/>
        </w:rPr>
        <w:t>1、乙方应按照本合同或招投标文件规定的时间和方式向甲方交付货物，交货地点由甲方指定。因交货产生的费用由乙方自行承担。</w:t>
      </w:r>
    </w:p>
    <w:p>
      <w:pPr>
        <w:ind w:firstLine="560"/>
        <w:jc w:val="left"/>
        <w:rPr>
          <w:rFonts w:ascii="Calibri" w:hAnsi="Calibri"/>
          <w:color w:val="000000"/>
          <w:szCs w:val="21"/>
        </w:rPr>
      </w:pPr>
      <w:r>
        <w:rPr>
          <w:rFonts w:ascii="Calibri" w:hAnsi="Calibri"/>
          <w:color w:val="000000"/>
          <w:szCs w:val="21"/>
        </w:rPr>
        <w:t>2、乙方交付的货物应当完全符合招投标文件所规定的货物、数量、质量和规格要求。乙方提供的货物不符合招投标文件和合同规定的，甲方有权拒收货物，由此引起的风险，由乙方承担。</w:t>
      </w:r>
    </w:p>
    <w:p>
      <w:pPr>
        <w:ind w:firstLine="560"/>
        <w:jc w:val="left"/>
        <w:rPr>
          <w:rFonts w:ascii="Calibri" w:hAnsi="Calibri"/>
          <w:color w:val="000000"/>
          <w:szCs w:val="21"/>
        </w:rPr>
      </w:pPr>
      <w:r>
        <w:rPr>
          <w:rFonts w:ascii="Calibri" w:hAnsi="Calibri"/>
          <w:color w:val="000000"/>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ind w:firstLine="560"/>
        <w:jc w:val="left"/>
        <w:rPr>
          <w:rFonts w:ascii="Calibri" w:hAnsi="Calibri"/>
          <w:color w:val="000000"/>
          <w:szCs w:val="21"/>
        </w:rPr>
      </w:pPr>
      <w:r>
        <w:rPr>
          <w:rFonts w:ascii="Calibri" w:hAnsi="Calibri"/>
          <w:color w:val="000000"/>
          <w:szCs w:val="21"/>
        </w:rPr>
        <w:t>4、甲方应当在到货后的</w:t>
      </w:r>
      <w:r>
        <w:rPr>
          <w:rFonts w:ascii="Calibri" w:hAnsi="Calibri"/>
          <w:color w:val="000000"/>
          <w:szCs w:val="21"/>
          <w:u w:val="single"/>
        </w:rPr>
        <w:t xml:space="preserve">       </w:t>
      </w:r>
      <w:r>
        <w:rPr>
          <w:rFonts w:ascii="Calibri" w:hAnsi="Calibri"/>
          <w:color w:val="000000"/>
          <w:szCs w:val="21"/>
        </w:rPr>
        <w:t>个工作日内对货物进行验收；需要乙方对货物或系统进行安装调试的，甲方应在货物安装调试完毕后的</w:t>
      </w:r>
      <w:r>
        <w:rPr>
          <w:rFonts w:ascii="Calibri" w:hAnsi="Calibri"/>
          <w:color w:val="000000"/>
          <w:szCs w:val="21"/>
          <w:u w:val="single"/>
        </w:rPr>
        <w:t xml:space="preserve">       </w:t>
      </w:r>
      <w:r>
        <w:rPr>
          <w:rFonts w:ascii="Calibri" w:hAnsi="Calibri"/>
          <w:color w:val="000000"/>
          <w:szCs w:val="21"/>
        </w:rPr>
        <w:t>个工作日内进行质量验收。</w:t>
      </w:r>
    </w:p>
    <w:p>
      <w:pPr>
        <w:ind w:firstLine="560"/>
        <w:jc w:val="left"/>
        <w:rPr>
          <w:rFonts w:ascii="Calibri" w:hAnsi="Calibri"/>
          <w:b/>
          <w:color w:val="000000"/>
          <w:szCs w:val="21"/>
        </w:rPr>
      </w:pPr>
      <w:r>
        <w:rPr>
          <w:rFonts w:ascii="Calibri" w:hAnsi="Calibri"/>
          <w:b/>
          <w:color w:val="000000"/>
          <w:szCs w:val="21"/>
        </w:rPr>
        <w:t>第六条  保修及其他服务</w:t>
      </w:r>
    </w:p>
    <w:p>
      <w:pPr>
        <w:ind w:firstLine="560"/>
        <w:jc w:val="left"/>
        <w:rPr>
          <w:rFonts w:ascii="Calibri" w:hAnsi="Calibri"/>
          <w:color w:val="000000"/>
          <w:szCs w:val="21"/>
        </w:rPr>
      </w:pPr>
      <w:r>
        <w:rPr>
          <w:rFonts w:ascii="Calibri" w:hAnsi="Calibri"/>
          <w:color w:val="000000"/>
          <w:szCs w:val="21"/>
        </w:rPr>
        <w:t>1、乙方应按照国家有关法律法规规章和“三包”规定和采购文件的要求及乙方在投标文件的相关承诺提供保修及其他服务。</w:t>
      </w:r>
    </w:p>
    <w:p>
      <w:pPr>
        <w:ind w:firstLine="560"/>
        <w:jc w:val="left"/>
        <w:rPr>
          <w:rFonts w:ascii="Calibri" w:hAnsi="Calibri"/>
          <w:color w:val="000000"/>
          <w:szCs w:val="21"/>
        </w:rPr>
      </w:pPr>
      <w:r>
        <w:rPr>
          <w:rFonts w:ascii="Calibri" w:hAnsi="Calibri"/>
          <w:color w:val="000000"/>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ind w:firstLine="560"/>
        <w:jc w:val="left"/>
        <w:rPr>
          <w:rFonts w:ascii="Calibri" w:hAnsi="Calibri"/>
          <w:b/>
          <w:color w:val="000000"/>
          <w:szCs w:val="21"/>
        </w:rPr>
      </w:pPr>
      <w:r>
        <w:rPr>
          <w:rFonts w:ascii="Calibri" w:hAnsi="Calibri"/>
          <w:b/>
          <w:color w:val="000000"/>
          <w:szCs w:val="21"/>
        </w:rPr>
        <w:t>第七条  履约保证金</w:t>
      </w:r>
    </w:p>
    <w:p>
      <w:pPr>
        <w:ind w:firstLine="560"/>
        <w:jc w:val="left"/>
        <w:rPr>
          <w:rFonts w:ascii="Calibri" w:hAnsi="Calibri"/>
          <w:color w:val="000000"/>
          <w:szCs w:val="21"/>
        </w:rPr>
      </w:pPr>
      <w:r>
        <w:rPr>
          <w:rFonts w:ascii="Calibri" w:hAnsi="Calibri"/>
          <w:color w:val="000000"/>
          <w:szCs w:val="21"/>
        </w:rPr>
        <w:t>1、乙方应在签订本合同之日，向甲方或甲方指定的机构提交履约保证金_________元。</w:t>
      </w:r>
    </w:p>
    <w:p>
      <w:pPr>
        <w:ind w:firstLine="560"/>
        <w:jc w:val="left"/>
        <w:rPr>
          <w:rFonts w:ascii="Calibri" w:hAnsi="Calibri"/>
          <w:color w:val="000000"/>
          <w:szCs w:val="21"/>
        </w:rPr>
      </w:pPr>
      <w:r>
        <w:rPr>
          <w:rFonts w:ascii="Calibri" w:hAnsi="Calibri"/>
          <w:color w:val="000000"/>
          <w:szCs w:val="21"/>
        </w:rPr>
        <w:t>2、如乙方未能履行合同规定的义务，甲方有权从履约保证金中取得补偿。</w:t>
      </w:r>
    </w:p>
    <w:p>
      <w:pPr>
        <w:ind w:firstLine="560"/>
        <w:jc w:val="left"/>
        <w:rPr>
          <w:rFonts w:ascii="Calibri" w:hAnsi="Calibri"/>
          <w:color w:val="000000"/>
          <w:szCs w:val="21"/>
        </w:rPr>
      </w:pPr>
      <w:r>
        <w:rPr>
          <w:rFonts w:ascii="Calibri" w:hAnsi="Calibri"/>
          <w:color w:val="000000"/>
          <w:szCs w:val="21"/>
        </w:rPr>
        <w:t>3、甲方在乙方履行完毕本合同项下全部义务后______天内无息退还乙方。</w:t>
      </w:r>
    </w:p>
    <w:p>
      <w:pPr>
        <w:ind w:firstLine="560"/>
        <w:jc w:val="left"/>
        <w:rPr>
          <w:rFonts w:ascii="Calibri" w:hAnsi="Calibri"/>
          <w:b/>
          <w:color w:val="000000"/>
          <w:szCs w:val="21"/>
        </w:rPr>
      </w:pPr>
      <w:r>
        <w:rPr>
          <w:rFonts w:ascii="Calibri" w:hAnsi="Calibri"/>
          <w:b/>
          <w:color w:val="000000"/>
          <w:szCs w:val="21"/>
        </w:rPr>
        <w:t>第八条   货款支付</w:t>
      </w:r>
    </w:p>
    <w:p>
      <w:pPr>
        <w:ind w:firstLine="560"/>
        <w:jc w:val="left"/>
        <w:rPr>
          <w:rFonts w:ascii="Calibri" w:hAnsi="Calibri"/>
          <w:b/>
          <w:color w:val="000000"/>
          <w:szCs w:val="21"/>
        </w:rPr>
      </w:pPr>
      <w:r>
        <w:rPr>
          <w:rFonts w:ascii="Calibri" w:hAnsi="Calibri"/>
          <w:b/>
          <w:color w:val="000000"/>
          <w:szCs w:val="21"/>
        </w:rPr>
        <w:t>第九条   违约责任</w:t>
      </w:r>
    </w:p>
    <w:p>
      <w:pPr>
        <w:ind w:firstLine="560"/>
        <w:jc w:val="left"/>
        <w:rPr>
          <w:rFonts w:ascii="Calibri" w:hAnsi="Calibri"/>
          <w:color w:val="000000"/>
          <w:szCs w:val="21"/>
        </w:rPr>
      </w:pPr>
      <w:r>
        <w:rPr>
          <w:rFonts w:ascii="Calibri" w:hAnsi="Calibri"/>
          <w:color w:val="000000"/>
          <w:szCs w:val="21"/>
        </w:rPr>
        <w:t>１、甲方无正当理由拒收货物、拒付货物款的，由甲方向乙方偿付合同总价的【】%违约金。</w:t>
      </w:r>
    </w:p>
    <w:p>
      <w:pPr>
        <w:ind w:firstLine="560"/>
        <w:jc w:val="left"/>
        <w:rPr>
          <w:rFonts w:ascii="Calibri" w:hAnsi="Calibri"/>
          <w:color w:val="000000"/>
          <w:szCs w:val="21"/>
        </w:rPr>
      </w:pPr>
      <w:r>
        <w:rPr>
          <w:rFonts w:ascii="Calibri" w:hAnsi="Calibri"/>
          <w:color w:val="000000"/>
          <w:szCs w:val="21"/>
        </w:rPr>
        <w:t>２、甲方未按合同规定的期限向乙方支付货款的，每逾期1天甲方向乙方偿付欠款总额的【】‰滞纳金，但累计滞纳金总额不超过欠款总额的【】% 。</w:t>
      </w:r>
    </w:p>
    <w:p>
      <w:pPr>
        <w:ind w:firstLine="560"/>
        <w:jc w:val="left"/>
        <w:rPr>
          <w:rFonts w:ascii="Calibri" w:hAnsi="Calibri"/>
          <w:color w:val="000000"/>
          <w:szCs w:val="21"/>
        </w:rPr>
      </w:pPr>
      <w:r>
        <w:rPr>
          <w:rFonts w:ascii="Calibri" w:hAnsi="Calibri"/>
          <w:color w:val="000000"/>
          <w:szCs w:val="21"/>
        </w:rPr>
        <w:t>３、乙方逾期交付货物的，每逾期1天，乙方向甲方偿付逾期交货部分货款总额的【】‰的滞纳金。如乙方逾期交货达</w:t>
      </w:r>
      <w:r>
        <w:rPr>
          <w:rFonts w:ascii="Calibri" w:hAnsi="Calibri"/>
          <w:color w:val="000000"/>
          <w:szCs w:val="21"/>
          <w:u w:val="single"/>
        </w:rPr>
        <w:t xml:space="preserve">    </w:t>
      </w:r>
      <w:r>
        <w:rPr>
          <w:rFonts w:ascii="Calibri" w:hAnsi="Calibri"/>
          <w:color w:val="000000"/>
          <w:szCs w:val="21"/>
        </w:rPr>
        <w:t>天，甲方有权解除合同，履约保证金不予退回，同时乙方应向甲方支付合同总价【】％的违约金。</w:t>
      </w:r>
    </w:p>
    <w:p>
      <w:pPr>
        <w:ind w:firstLine="560"/>
        <w:jc w:val="left"/>
        <w:rPr>
          <w:rFonts w:ascii="Calibri" w:hAnsi="Calibri"/>
          <w:color w:val="000000"/>
          <w:szCs w:val="21"/>
        </w:rPr>
      </w:pPr>
      <w:r>
        <w:rPr>
          <w:rFonts w:ascii="Calibri" w:hAnsi="Calibri"/>
          <w:color w:val="000000"/>
          <w:szCs w:val="21"/>
        </w:rPr>
        <w:t>4、乙方所交付的货物品种、型号、规格不符合合同规定的，甲方有权拒收。甲方拒收的，乙方应向甲方支付货款总额【】%的违约金。</w:t>
      </w:r>
    </w:p>
    <w:p>
      <w:pPr>
        <w:ind w:firstLine="560"/>
        <w:jc w:val="left"/>
        <w:rPr>
          <w:rFonts w:ascii="Calibri" w:hAnsi="Calibri"/>
          <w:color w:val="000000"/>
          <w:szCs w:val="21"/>
        </w:rPr>
      </w:pPr>
      <w:r>
        <w:rPr>
          <w:rFonts w:ascii="Calibri" w:hAnsi="Calibri"/>
          <w:color w:val="000000"/>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ind w:firstLine="560"/>
        <w:jc w:val="left"/>
        <w:rPr>
          <w:rFonts w:ascii="Calibri" w:hAnsi="Calibri"/>
          <w:color w:val="000000"/>
          <w:szCs w:val="21"/>
        </w:rPr>
      </w:pPr>
      <w:r>
        <w:rPr>
          <w:rFonts w:ascii="Calibri" w:hAnsi="Calibri"/>
          <w:color w:val="000000"/>
          <w:szCs w:val="21"/>
        </w:rPr>
        <w:t>6、乙方未履行本合同项下的其他义务或违反其在投标文件中的相关承诺的，应按合同总价款的【】%向甲方承担违约责任。</w:t>
      </w:r>
    </w:p>
    <w:p>
      <w:pPr>
        <w:ind w:firstLine="560"/>
        <w:jc w:val="left"/>
        <w:rPr>
          <w:rFonts w:ascii="Calibri" w:hAnsi="Calibri"/>
          <w:color w:val="000000"/>
          <w:szCs w:val="21"/>
        </w:rPr>
      </w:pPr>
      <w:r>
        <w:rPr>
          <w:rFonts w:ascii="Calibri" w:hAnsi="Calibri"/>
          <w:color w:val="000000"/>
          <w:szCs w:val="21"/>
        </w:rPr>
        <w:t>7、乙方在承担上述一项或多项违约责任后，仍应继续履行合同规定的义务（甲方解除合同的除外）。甲方未能及时追究乙方的任何一项违约责任并不表明甲方放弃追究乙方该项或其他违约责任。</w:t>
      </w:r>
    </w:p>
    <w:p>
      <w:pPr>
        <w:ind w:firstLine="560"/>
        <w:jc w:val="left"/>
        <w:rPr>
          <w:rFonts w:ascii="Calibri" w:hAnsi="Calibri"/>
          <w:b/>
          <w:color w:val="000000"/>
          <w:szCs w:val="21"/>
        </w:rPr>
      </w:pPr>
      <w:r>
        <w:rPr>
          <w:rFonts w:ascii="Calibri" w:hAnsi="Calibri"/>
          <w:b/>
          <w:color w:val="000000"/>
          <w:szCs w:val="21"/>
        </w:rPr>
        <w:t>第十条    合同的变更和终止</w:t>
      </w:r>
    </w:p>
    <w:p>
      <w:pPr>
        <w:ind w:firstLine="560"/>
        <w:jc w:val="left"/>
        <w:rPr>
          <w:rFonts w:ascii="Calibri" w:hAnsi="Calibri"/>
          <w:color w:val="000000"/>
          <w:szCs w:val="21"/>
        </w:rPr>
      </w:pPr>
      <w:r>
        <w:rPr>
          <w:rFonts w:ascii="Calibri" w:hAnsi="Calibri"/>
          <w:color w:val="000000"/>
          <w:szCs w:val="21"/>
        </w:rPr>
        <w:t>除《中华人民共和国政府采购法》第４９条、第５０条第二款规定的情形外，本合同一经签订，甲乙双方不得擅自变更、中止或终止合同。</w:t>
      </w:r>
    </w:p>
    <w:p>
      <w:pPr>
        <w:ind w:firstLine="560"/>
        <w:jc w:val="left"/>
        <w:rPr>
          <w:rFonts w:ascii="Calibri" w:hAnsi="Calibri"/>
          <w:b/>
          <w:color w:val="000000"/>
          <w:szCs w:val="21"/>
        </w:rPr>
      </w:pPr>
      <w:r>
        <w:rPr>
          <w:rFonts w:ascii="Calibri" w:hAnsi="Calibri"/>
          <w:b/>
          <w:color w:val="000000"/>
          <w:szCs w:val="21"/>
        </w:rPr>
        <w:t>第十一条   争议的解决</w:t>
      </w:r>
    </w:p>
    <w:p>
      <w:pPr>
        <w:ind w:firstLine="560"/>
        <w:jc w:val="left"/>
        <w:rPr>
          <w:rFonts w:ascii="Calibri" w:hAnsi="Calibri"/>
          <w:color w:val="000000"/>
          <w:szCs w:val="21"/>
        </w:rPr>
      </w:pPr>
      <w:r>
        <w:rPr>
          <w:rFonts w:ascii="Calibri" w:hAnsi="Calibri"/>
          <w:color w:val="000000"/>
          <w:szCs w:val="21"/>
        </w:rPr>
        <w:t>1、因货物的质量问题发生争议的，应当邀请国家认可的质量检测机构对货物质量进行鉴定。货物符合标准的，鉴定费由甲方承担；货物不符合质量标准的，鉴定费由乙方承担。</w:t>
      </w:r>
    </w:p>
    <w:p>
      <w:pPr>
        <w:ind w:firstLine="560"/>
        <w:jc w:val="left"/>
        <w:rPr>
          <w:rFonts w:ascii="Calibri" w:hAnsi="Calibri"/>
          <w:color w:val="000000"/>
          <w:szCs w:val="21"/>
        </w:rPr>
      </w:pPr>
      <w:r>
        <w:rPr>
          <w:rFonts w:ascii="Calibri" w:hAnsi="Calibri"/>
          <w:color w:val="000000"/>
          <w:szCs w:val="21"/>
        </w:rPr>
        <w:t>2、因履行本合同引起的或与本合同有关的争议，甲、乙双方应首先通过友好协商解决，如果协商不能解决争议，则向甲方所在地有管辖权的人民法院提起诉讼；</w:t>
      </w:r>
    </w:p>
    <w:p>
      <w:pPr>
        <w:ind w:firstLine="560"/>
        <w:jc w:val="left"/>
        <w:rPr>
          <w:rFonts w:ascii="Calibri" w:hAnsi="Calibri"/>
          <w:b/>
          <w:color w:val="000000"/>
          <w:szCs w:val="21"/>
        </w:rPr>
      </w:pPr>
      <w:r>
        <w:rPr>
          <w:rFonts w:ascii="Calibri" w:hAnsi="Calibri"/>
          <w:b/>
          <w:color w:val="000000"/>
          <w:szCs w:val="21"/>
        </w:rPr>
        <w:t>第十二条   合同生效及其他</w:t>
      </w:r>
    </w:p>
    <w:p>
      <w:pPr>
        <w:ind w:firstLine="560"/>
        <w:jc w:val="left"/>
        <w:rPr>
          <w:rFonts w:ascii="Calibri" w:hAnsi="Calibri"/>
          <w:color w:val="000000"/>
          <w:szCs w:val="21"/>
        </w:rPr>
      </w:pPr>
      <w:r>
        <w:rPr>
          <w:rFonts w:ascii="Calibri" w:hAnsi="Calibri"/>
          <w:color w:val="000000"/>
          <w:szCs w:val="21"/>
        </w:rPr>
        <w:t>1、下列文件均为本合同的组成部分：</w:t>
      </w:r>
    </w:p>
    <w:p>
      <w:pPr>
        <w:ind w:firstLine="560"/>
        <w:jc w:val="left"/>
        <w:rPr>
          <w:rFonts w:ascii="Calibri" w:hAnsi="Calibri"/>
          <w:color w:val="000000"/>
          <w:szCs w:val="21"/>
        </w:rPr>
      </w:pPr>
      <w:r>
        <w:rPr>
          <w:rFonts w:ascii="Calibri" w:hAnsi="Calibri"/>
          <w:color w:val="000000"/>
          <w:szCs w:val="21"/>
        </w:rPr>
        <w:t>（1）</w:t>
      </w:r>
      <w:r>
        <w:rPr>
          <w:rFonts w:ascii="Calibri" w:hAnsi="Calibri"/>
          <w:color w:val="000000"/>
          <w:szCs w:val="21"/>
          <w:u w:val="single"/>
        </w:rPr>
        <w:t xml:space="preserve">         </w:t>
      </w:r>
      <w:r>
        <w:rPr>
          <w:rFonts w:ascii="Calibri" w:hAnsi="Calibri"/>
          <w:color w:val="000000"/>
          <w:szCs w:val="21"/>
        </w:rPr>
        <w:t>号采购文件、答疑及补充通知；</w:t>
      </w:r>
    </w:p>
    <w:p>
      <w:pPr>
        <w:ind w:firstLine="560"/>
        <w:jc w:val="left"/>
        <w:rPr>
          <w:rFonts w:ascii="Calibri" w:hAnsi="Calibri"/>
          <w:color w:val="000000"/>
          <w:szCs w:val="21"/>
        </w:rPr>
      </w:pPr>
      <w:r>
        <w:rPr>
          <w:rFonts w:ascii="Calibri" w:hAnsi="Calibri"/>
          <w:color w:val="000000"/>
          <w:szCs w:val="21"/>
        </w:rPr>
        <w:t>（2）乙方的投标文件；</w:t>
      </w:r>
    </w:p>
    <w:p>
      <w:pPr>
        <w:ind w:firstLine="560"/>
        <w:jc w:val="left"/>
        <w:rPr>
          <w:rFonts w:ascii="Calibri" w:hAnsi="Calibri"/>
          <w:color w:val="000000"/>
          <w:szCs w:val="21"/>
        </w:rPr>
      </w:pPr>
      <w:r>
        <w:rPr>
          <w:rFonts w:ascii="Calibri" w:hAnsi="Calibri"/>
          <w:color w:val="000000"/>
          <w:szCs w:val="21"/>
        </w:rPr>
        <w:t>（3）本合同执行中甲乙双方共同签署的补充与修正文件。</w:t>
      </w:r>
    </w:p>
    <w:p>
      <w:pPr>
        <w:ind w:firstLine="560"/>
        <w:jc w:val="left"/>
        <w:rPr>
          <w:rFonts w:ascii="Calibri" w:hAnsi="Calibri"/>
          <w:color w:val="000000"/>
          <w:szCs w:val="21"/>
        </w:rPr>
      </w:pPr>
      <w:r>
        <w:rPr>
          <w:rFonts w:ascii="Calibri" w:hAnsi="Calibri"/>
          <w:color w:val="000000"/>
          <w:szCs w:val="21"/>
        </w:rPr>
        <w:t>2、本合同一式</w:t>
      </w:r>
      <w:r>
        <w:rPr>
          <w:rFonts w:ascii="Calibri" w:hAnsi="Calibri"/>
          <w:color w:val="000000"/>
          <w:szCs w:val="21"/>
          <w:u w:val="single"/>
        </w:rPr>
        <w:t xml:space="preserve">     </w:t>
      </w:r>
      <w:r>
        <w:rPr>
          <w:rFonts w:ascii="Calibri" w:hAnsi="Calibri"/>
          <w:color w:val="000000"/>
          <w:szCs w:val="21"/>
        </w:rPr>
        <w:t>份，甲、乙方双方各执</w:t>
      </w:r>
      <w:r>
        <w:rPr>
          <w:rFonts w:ascii="Calibri" w:hAnsi="Calibri"/>
          <w:color w:val="000000"/>
          <w:szCs w:val="21"/>
          <w:u w:val="single"/>
        </w:rPr>
        <w:t xml:space="preserve">     </w:t>
      </w:r>
      <w:r>
        <w:rPr>
          <w:rFonts w:ascii="Calibri" w:hAnsi="Calibri"/>
          <w:color w:val="000000"/>
          <w:szCs w:val="21"/>
        </w:rPr>
        <w:t>份，具有同等法律效力。本合同自双方法定代表人（或授权代表）签字并盖章之日起生效。</w:t>
      </w:r>
    </w:p>
    <w:p>
      <w:pPr>
        <w:ind w:firstLine="560"/>
        <w:jc w:val="left"/>
        <w:rPr>
          <w:rFonts w:ascii="Calibri" w:hAnsi="Calibri"/>
          <w:color w:val="000000"/>
          <w:szCs w:val="21"/>
        </w:rPr>
      </w:pPr>
      <w:r>
        <w:rPr>
          <w:rFonts w:ascii="Calibri" w:hAnsi="Calibri"/>
          <w:color w:val="000000"/>
          <w:szCs w:val="21"/>
        </w:rPr>
        <w:t>甲方（采购人）：   （盖章）       乙方（供应商）：    （盖章）</w:t>
      </w:r>
    </w:p>
    <w:p>
      <w:pPr>
        <w:ind w:firstLine="560"/>
        <w:jc w:val="left"/>
        <w:rPr>
          <w:rFonts w:ascii="Calibri" w:hAnsi="Calibri"/>
          <w:color w:val="000000"/>
          <w:szCs w:val="21"/>
        </w:rPr>
      </w:pPr>
      <w:r>
        <w:rPr>
          <w:rFonts w:ascii="Calibri" w:hAnsi="Calibri"/>
          <w:color w:val="000000"/>
          <w:szCs w:val="21"/>
        </w:rPr>
        <w:t xml:space="preserve">法定代表人：                     法定代表人： </w:t>
      </w:r>
    </w:p>
    <w:p>
      <w:pPr>
        <w:ind w:firstLine="560"/>
        <w:jc w:val="left"/>
        <w:rPr>
          <w:rFonts w:ascii="Calibri" w:hAnsi="Calibri"/>
          <w:color w:val="000000"/>
          <w:szCs w:val="21"/>
        </w:rPr>
      </w:pPr>
      <w:r>
        <w:rPr>
          <w:rFonts w:ascii="Calibri" w:hAnsi="Calibri"/>
          <w:color w:val="000000"/>
          <w:szCs w:val="21"/>
        </w:rPr>
        <w:t>委托代理人：                     委托代理人：</w:t>
      </w:r>
    </w:p>
    <w:p>
      <w:pPr>
        <w:spacing w:line="360" w:lineRule="auto"/>
        <w:ind w:left="210" w:hanging="210" w:hangingChars="100"/>
      </w:pPr>
      <w:r>
        <w:rPr>
          <w:rFonts w:ascii="Calibri" w:hAnsi="Calibri"/>
          <w:color w:val="000000"/>
          <w:szCs w:val="21"/>
        </w:rPr>
        <w:t>日期：   年     月    日         日期：   年     月    日</w:t>
      </w:r>
    </w:p>
    <w:p>
      <w:pPr>
        <w:pStyle w:val="4"/>
        <w:numPr>
          <w:ilvl w:val="0"/>
          <w:numId w:val="11"/>
        </w:numPr>
        <w:rPr>
          <w:rFonts w:ascii="宋体" w:hAnsi="宋体" w:cs="宋体"/>
          <w:b/>
          <w:kern w:val="0"/>
          <w:sz w:val="24"/>
        </w:rPr>
      </w:pPr>
      <w:r>
        <w:rPr>
          <w:rFonts w:hint="eastAsia" w:ascii="宋体" w:hAnsi="宋体" w:cs="宋体"/>
          <w:b/>
          <w:kern w:val="0"/>
          <w:sz w:val="24"/>
        </w:rPr>
        <w:br w:type="page"/>
      </w:r>
      <w:r>
        <w:rPr>
          <w:rFonts w:hint="eastAsia" w:ascii="宋体" w:hAnsi="宋体" w:cs="宋体"/>
          <w:b/>
          <w:kern w:val="0"/>
          <w:sz w:val="24"/>
        </w:rPr>
        <w:t>政府采购履约情况反馈表</w:t>
      </w:r>
    </w:p>
    <w:p>
      <w:pPr>
        <w:spacing w:line="240" w:lineRule="atLeast"/>
        <w:rPr>
          <w:rFonts w:ascii="宋体" w:hAnsi="宋体" w:cs="宋体"/>
          <w:b/>
          <w:szCs w:val="21"/>
        </w:rPr>
      </w:pPr>
      <w:r>
        <w:rPr>
          <w:rFonts w:hint="eastAsia" w:ascii="宋体" w:hAnsi="宋体" w:cs="宋体"/>
          <w:b/>
          <w:szCs w:val="21"/>
        </w:rPr>
        <w:t>采购单位名称：                       联系人及电话：</w:t>
      </w:r>
    </w:p>
    <w:p>
      <w:pPr>
        <w:spacing w:line="60" w:lineRule="exact"/>
        <w:rPr>
          <w:rFonts w:ascii="宋体" w:hAnsi="宋体" w:cs="宋体"/>
          <w:b/>
          <w:szCs w:val="21"/>
        </w:rPr>
      </w:pPr>
    </w:p>
    <w:tbl>
      <w:tblPr>
        <w:tblStyle w:val="44"/>
        <w:tblW w:w="866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42"/>
        <w:gridCol w:w="720"/>
        <w:gridCol w:w="720"/>
        <w:gridCol w:w="2520"/>
        <w:gridCol w:w="1980"/>
        <w:gridCol w:w="188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2282" w:type="dxa"/>
            <w:gridSpan w:val="3"/>
            <w:vAlign w:val="center"/>
          </w:tcPr>
          <w:p>
            <w:pPr>
              <w:spacing w:line="240" w:lineRule="atLeast"/>
              <w:jc w:val="center"/>
              <w:rPr>
                <w:rFonts w:ascii="宋体" w:hAnsi="宋体" w:cs="宋体"/>
                <w:szCs w:val="21"/>
              </w:rPr>
            </w:pPr>
            <w:r>
              <w:rPr>
                <w:rFonts w:hint="eastAsia" w:ascii="宋体" w:hAnsi="宋体" w:cs="宋体"/>
                <w:szCs w:val="21"/>
              </w:rPr>
              <w:t>采购项目名称</w:t>
            </w:r>
          </w:p>
        </w:tc>
        <w:tc>
          <w:tcPr>
            <w:tcW w:w="2520" w:type="dxa"/>
            <w:vAlign w:val="center"/>
          </w:tcPr>
          <w:p>
            <w:pPr>
              <w:spacing w:line="240" w:lineRule="atLeast"/>
              <w:jc w:val="center"/>
              <w:rPr>
                <w:rFonts w:ascii="宋体" w:hAnsi="宋体" w:cs="宋体"/>
                <w:szCs w:val="21"/>
              </w:rPr>
            </w:pPr>
          </w:p>
        </w:tc>
        <w:tc>
          <w:tcPr>
            <w:tcW w:w="1980" w:type="dxa"/>
            <w:vAlign w:val="center"/>
          </w:tcPr>
          <w:p>
            <w:pPr>
              <w:spacing w:line="240" w:lineRule="atLeast"/>
              <w:jc w:val="center"/>
              <w:rPr>
                <w:rFonts w:ascii="宋体" w:hAnsi="宋体" w:cs="宋体"/>
                <w:szCs w:val="21"/>
              </w:rPr>
            </w:pPr>
            <w:r>
              <w:rPr>
                <w:rFonts w:hint="eastAsia" w:ascii="宋体" w:hAnsi="宋体" w:cs="宋体"/>
                <w:szCs w:val="21"/>
              </w:rPr>
              <w:t>项目编号</w:t>
            </w:r>
          </w:p>
        </w:tc>
        <w:tc>
          <w:tcPr>
            <w:tcW w:w="1884" w:type="dxa"/>
            <w:vAlign w:val="center"/>
          </w:tcPr>
          <w:p>
            <w:pPr>
              <w:spacing w:line="240" w:lineRule="atLeast"/>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2282" w:type="dxa"/>
            <w:gridSpan w:val="3"/>
            <w:vAlign w:val="center"/>
          </w:tcPr>
          <w:p>
            <w:pPr>
              <w:spacing w:line="240" w:lineRule="atLeast"/>
              <w:jc w:val="center"/>
              <w:rPr>
                <w:rFonts w:ascii="宋体" w:hAnsi="宋体" w:cs="宋体"/>
                <w:szCs w:val="21"/>
              </w:rPr>
            </w:pPr>
            <w:r>
              <w:rPr>
                <w:rFonts w:hint="eastAsia" w:ascii="宋体" w:hAnsi="宋体" w:cs="宋体"/>
                <w:szCs w:val="21"/>
              </w:rPr>
              <w:t>中标供应商名称</w:t>
            </w:r>
          </w:p>
        </w:tc>
        <w:tc>
          <w:tcPr>
            <w:tcW w:w="2520" w:type="dxa"/>
            <w:vAlign w:val="center"/>
          </w:tcPr>
          <w:p>
            <w:pPr>
              <w:spacing w:line="240" w:lineRule="atLeast"/>
              <w:jc w:val="center"/>
              <w:rPr>
                <w:rFonts w:ascii="宋体" w:hAnsi="宋体" w:cs="宋体"/>
                <w:szCs w:val="21"/>
              </w:rPr>
            </w:pPr>
          </w:p>
        </w:tc>
        <w:tc>
          <w:tcPr>
            <w:tcW w:w="1980" w:type="dxa"/>
            <w:vAlign w:val="center"/>
          </w:tcPr>
          <w:p>
            <w:pPr>
              <w:spacing w:line="240" w:lineRule="atLeast"/>
              <w:jc w:val="center"/>
              <w:rPr>
                <w:rFonts w:ascii="宋体" w:hAnsi="宋体" w:cs="宋体"/>
                <w:szCs w:val="21"/>
              </w:rPr>
            </w:pPr>
            <w:r>
              <w:rPr>
                <w:rFonts w:hint="eastAsia" w:ascii="宋体" w:hAnsi="宋体" w:cs="宋体"/>
                <w:szCs w:val="21"/>
              </w:rPr>
              <w:t>供应商</w:t>
            </w:r>
          </w:p>
          <w:p>
            <w:pPr>
              <w:spacing w:line="240" w:lineRule="atLeast"/>
              <w:jc w:val="center"/>
              <w:rPr>
                <w:rFonts w:ascii="宋体" w:hAnsi="宋体" w:cs="宋体"/>
                <w:szCs w:val="21"/>
              </w:rPr>
            </w:pPr>
            <w:r>
              <w:rPr>
                <w:rFonts w:hint="eastAsia" w:ascii="宋体" w:hAnsi="宋体" w:cs="宋体"/>
                <w:szCs w:val="21"/>
              </w:rPr>
              <w:t>联系人及电话</w:t>
            </w:r>
          </w:p>
        </w:tc>
        <w:tc>
          <w:tcPr>
            <w:tcW w:w="1884" w:type="dxa"/>
            <w:vAlign w:val="center"/>
          </w:tcPr>
          <w:p>
            <w:pPr>
              <w:spacing w:line="240" w:lineRule="atLeast"/>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2282" w:type="dxa"/>
            <w:gridSpan w:val="3"/>
            <w:vAlign w:val="center"/>
          </w:tcPr>
          <w:p>
            <w:pPr>
              <w:spacing w:line="240" w:lineRule="atLeast"/>
              <w:jc w:val="center"/>
              <w:rPr>
                <w:rFonts w:ascii="宋体" w:hAnsi="宋体" w:cs="宋体"/>
                <w:szCs w:val="21"/>
              </w:rPr>
            </w:pPr>
            <w:r>
              <w:rPr>
                <w:rFonts w:hint="eastAsia" w:ascii="宋体" w:hAnsi="宋体" w:cs="宋体"/>
                <w:szCs w:val="21"/>
              </w:rPr>
              <w:t>中标金额</w:t>
            </w:r>
          </w:p>
        </w:tc>
        <w:tc>
          <w:tcPr>
            <w:tcW w:w="2520" w:type="dxa"/>
            <w:vAlign w:val="center"/>
          </w:tcPr>
          <w:p>
            <w:pPr>
              <w:spacing w:line="240" w:lineRule="atLeast"/>
              <w:jc w:val="center"/>
              <w:rPr>
                <w:rFonts w:ascii="宋体" w:hAnsi="宋体" w:cs="宋体"/>
                <w:szCs w:val="21"/>
              </w:rPr>
            </w:pPr>
          </w:p>
        </w:tc>
        <w:tc>
          <w:tcPr>
            <w:tcW w:w="1980" w:type="dxa"/>
            <w:vAlign w:val="center"/>
          </w:tcPr>
          <w:p>
            <w:pPr>
              <w:spacing w:line="240" w:lineRule="atLeast"/>
              <w:jc w:val="center"/>
              <w:rPr>
                <w:rFonts w:ascii="宋体" w:hAnsi="宋体" w:cs="宋体"/>
                <w:szCs w:val="21"/>
              </w:rPr>
            </w:pPr>
            <w:r>
              <w:rPr>
                <w:rFonts w:hint="eastAsia" w:ascii="宋体" w:hAnsi="宋体" w:cs="宋体"/>
                <w:szCs w:val="21"/>
              </w:rPr>
              <w:t>合同履约时间</w:t>
            </w:r>
          </w:p>
        </w:tc>
        <w:tc>
          <w:tcPr>
            <w:tcW w:w="1884" w:type="dxa"/>
            <w:vAlign w:val="center"/>
          </w:tcPr>
          <w:p>
            <w:pPr>
              <w:spacing w:line="240" w:lineRule="atLeast"/>
              <w:rPr>
                <w:rFonts w:ascii="宋体" w:hAnsi="宋体" w:cs="宋体"/>
                <w:szCs w:val="21"/>
              </w:rPr>
            </w:pPr>
            <w:r>
              <w:rPr>
                <w:rFonts w:hint="eastAsia" w:ascii="宋体" w:hAnsi="宋体" w:cs="宋体"/>
                <w:szCs w:val="21"/>
              </w:rPr>
              <w:t>自       至</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842" w:type="dxa"/>
            <w:vMerge w:val="restart"/>
            <w:vAlign w:val="center"/>
          </w:tcPr>
          <w:p>
            <w:pPr>
              <w:spacing w:line="240" w:lineRule="atLeast"/>
              <w:jc w:val="center"/>
              <w:rPr>
                <w:rFonts w:ascii="宋体" w:hAnsi="宋体" w:cs="宋体"/>
                <w:b/>
                <w:szCs w:val="21"/>
              </w:rPr>
            </w:pPr>
            <w:r>
              <w:rPr>
                <w:rFonts w:hint="eastAsia" w:ascii="宋体" w:hAnsi="宋体" w:cs="宋体"/>
                <w:b/>
                <w:szCs w:val="21"/>
              </w:rPr>
              <w:t>履约情况评价</w:t>
            </w:r>
          </w:p>
        </w:tc>
        <w:tc>
          <w:tcPr>
            <w:tcW w:w="1440" w:type="dxa"/>
            <w:gridSpan w:val="2"/>
            <w:tcBorders>
              <w:right w:val="single" w:color="auto" w:sz="4" w:space="0"/>
            </w:tcBorders>
            <w:vAlign w:val="center"/>
          </w:tcPr>
          <w:p>
            <w:pPr>
              <w:spacing w:line="240" w:lineRule="atLeast"/>
              <w:jc w:val="center"/>
              <w:rPr>
                <w:rFonts w:ascii="宋体" w:hAnsi="宋体" w:cs="宋体"/>
                <w:szCs w:val="21"/>
              </w:rPr>
            </w:pPr>
            <w:r>
              <w:rPr>
                <w:rFonts w:hint="eastAsia" w:ascii="宋体" w:hAnsi="宋体" w:cs="宋体"/>
                <w:szCs w:val="21"/>
              </w:rPr>
              <w:t>总体评价</w:t>
            </w:r>
          </w:p>
        </w:tc>
        <w:tc>
          <w:tcPr>
            <w:tcW w:w="6384" w:type="dxa"/>
            <w:gridSpan w:val="3"/>
            <w:tcBorders>
              <w:left w:val="single" w:color="auto" w:sz="4" w:space="0"/>
            </w:tcBorders>
            <w:vAlign w:val="center"/>
          </w:tcPr>
          <w:p>
            <w:pPr>
              <w:spacing w:line="240" w:lineRule="atLeast"/>
              <w:ind w:firstLine="105" w:firstLineChars="50"/>
              <w:jc w:val="center"/>
              <w:rPr>
                <w:rFonts w:ascii="宋体" w:hAnsi="宋体" w:cs="宋体"/>
                <w:szCs w:val="21"/>
              </w:rPr>
            </w:pPr>
            <w:r>
              <w:rPr>
                <w:rFonts w:hint="eastAsia" w:ascii="宋体" w:hAnsi="宋体" w:cs="宋体"/>
                <w:szCs w:val="21"/>
              </w:rPr>
              <w:t>□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pPr>
              <w:spacing w:line="240" w:lineRule="atLeast"/>
              <w:jc w:val="center"/>
              <w:rPr>
                <w:rFonts w:ascii="宋体" w:hAnsi="宋体" w:cs="宋体"/>
                <w:szCs w:val="21"/>
              </w:rPr>
            </w:pPr>
          </w:p>
        </w:tc>
        <w:tc>
          <w:tcPr>
            <w:tcW w:w="720" w:type="dxa"/>
            <w:vMerge w:val="restart"/>
            <w:tcBorders>
              <w:right w:val="single" w:color="auto" w:sz="4" w:space="0"/>
            </w:tcBorders>
            <w:vAlign w:val="center"/>
          </w:tcPr>
          <w:p>
            <w:pPr>
              <w:spacing w:line="240" w:lineRule="atLeast"/>
              <w:jc w:val="center"/>
              <w:rPr>
                <w:rFonts w:ascii="宋体" w:hAnsi="宋体" w:cs="宋体"/>
                <w:szCs w:val="21"/>
              </w:rPr>
            </w:pPr>
            <w:r>
              <w:rPr>
                <w:rFonts w:hint="eastAsia" w:ascii="宋体" w:hAnsi="宋体" w:cs="宋体"/>
                <w:szCs w:val="21"/>
              </w:rPr>
              <w:t>分项评价</w:t>
            </w:r>
          </w:p>
        </w:tc>
        <w:tc>
          <w:tcPr>
            <w:tcW w:w="720" w:type="dxa"/>
            <w:tcBorders>
              <w:left w:val="single" w:color="auto" w:sz="4" w:space="0"/>
              <w:right w:val="single" w:color="auto" w:sz="4" w:space="0"/>
            </w:tcBorders>
            <w:vAlign w:val="center"/>
          </w:tcPr>
          <w:p>
            <w:pPr>
              <w:spacing w:line="240" w:lineRule="atLeast"/>
              <w:jc w:val="center"/>
              <w:rPr>
                <w:rFonts w:ascii="宋体" w:hAnsi="宋体" w:cs="宋体"/>
                <w:szCs w:val="21"/>
              </w:rPr>
            </w:pPr>
            <w:r>
              <w:rPr>
                <w:rFonts w:hint="eastAsia" w:ascii="宋体" w:hAnsi="宋体" w:cs="宋体"/>
                <w:szCs w:val="21"/>
              </w:rPr>
              <w:t>质量方面</w:t>
            </w:r>
          </w:p>
        </w:tc>
        <w:tc>
          <w:tcPr>
            <w:tcW w:w="6384" w:type="dxa"/>
            <w:gridSpan w:val="3"/>
            <w:tcBorders>
              <w:left w:val="single" w:color="auto" w:sz="4" w:space="0"/>
            </w:tcBorders>
            <w:vAlign w:val="center"/>
          </w:tcPr>
          <w:p>
            <w:pPr>
              <w:spacing w:line="240" w:lineRule="atLeast"/>
              <w:jc w:val="center"/>
              <w:rPr>
                <w:rFonts w:ascii="宋体" w:hAnsi="宋体" w:cs="宋体"/>
                <w:szCs w:val="21"/>
              </w:rPr>
            </w:pPr>
            <w:r>
              <w:rPr>
                <w:rFonts w:hint="eastAsia" w:ascii="宋体" w:hAnsi="宋体" w:cs="宋体"/>
                <w:szCs w:val="21"/>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pPr>
              <w:spacing w:line="240" w:lineRule="atLeast"/>
              <w:jc w:val="center"/>
              <w:rPr>
                <w:rFonts w:ascii="宋体" w:hAnsi="宋体" w:cs="宋体"/>
                <w:szCs w:val="21"/>
              </w:rPr>
            </w:pPr>
          </w:p>
        </w:tc>
        <w:tc>
          <w:tcPr>
            <w:tcW w:w="720" w:type="dxa"/>
            <w:vMerge w:val="continue"/>
            <w:tcBorders>
              <w:right w:val="single" w:color="auto" w:sz="4" w:space="0"/>
            </w:tcBorders>
            <w:vAlign w:val="center"/>
          </w:tcPr>
          <w:p>
            <w:pPr>
              <w:spacing w:line="240" w:lineRule="atLeast"/>
              <w:jc w:val="center"/>
              <w:rPr>
                <w:rFonts w:ascii="宋体" w:hAnsi="宋体" w:cs="宋体"/>
                <w:szCs w:val="21"/>
              </w:rPr>
            </w:pPr>
          </w:p>
        </w:tc>
        <w:tc>
          <w:tcPr>
            <w:tcW w:w="720" w:type="dxa"/>
            <w:tcBorders>
              <w:left w:val="single" w:color="auto" w:sz="4" w:space="0"/>
              <w:right w:val="single" w:color="auto" w:sz="4" w:space="0"/>
            </w:tcBorders>
            <w:vAlign w:val="center"/>
          </w:tcPr>
          <w:p>
            <w:pPr>
              <w:spacing w:line="240" w:lineRule="atLeast"/>
              <w:jc w:val="center"/>
              <w:rPr>
                <w:rFonts w:ascii="宋体" w:hAnsi="宋体" w:cs="宋体"/>
                <w:szCs w:val="21"/>
              </w:rPr>
            </w:pPr>
            <w:r>
              <w:rPr>
                <w:rFonts w:hint="eastAsia" w:ascii="宋体" w:hAnsi="宋体" w:cs="宋体"/>
                <w:szCs w:val="21"/>
              </w:rPr>
              <w:t>价格方面</w:t>
            </w:r>
          </w:p>
        </w:tc>
        <w:tc>
          <w:tcPr>
            <w:tcW w:w="6384" w:type="dxa"/>
            <w:gridSpan w:val="3"/>
            <w:tcBorders>
              <w:left w:val="single" w:color="auto" w:sz="4" w:space="0"/>
            </w:tcBorders>
            <w:vAlign w:val="center"/>
          </w:tcPr>
          <w:p>
            <w:pPr>
              <w:spacing w:line="240" w:lineRule="atLeast"/>
              <w:jc w:val="center"/>
              <w:rPr>
                <w:rFonts w:ascii="宋体" w:hAnsi="宋体" w:cs="宋体"/>
                <w:szCs w:val="21"/>
              </w:rPr>
            </w:pPr>
            <w:r>
              <w:rPr>
                <w:rFonts w:hint="eastAsia" w:ascii="宋体" w:hAnsi="宋体" w:cs="宋体"/>
                <w:szCs w:val="21"/>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pPr>
              <w:spacing w:line="240" w:lineRule="atLeast"/>
              <w:jc w:val="center"/>
              <w:rPr>
                <w:rFonts w:ascii="宋体" w:hAnsi="宋体" w:cs="宋体"/>
                <w:szCs w:val="21"/>
              </w:rPr>
            </w:pPr>
          </w:p>
        </w:tc>
        <w:tc>
          <w:tcPr>
            <w:tcW w:w="720" w:type="dxa"/>
            <w:vMerge w:val="continue"/>
            <w:tcBorders>
              <w:right w:val="single" w:color="auto" w:sz="4" w:space="0"/>
            </w:tcBorders>
            <w:vAlign w:val="center"/>
          </w:tcPr>
          <w:p>
            <w:pPr>
              <w:spacing w:line="240" w:lineRule="atLeast"/>
              <w:jc w:val="center"/>
              <w:rPr>
                <w:rFonts w:ascii="宋体" w:hAnsi="宋体" w:cs="宋体"/>
                <w:szCs w:val="21"/>
              </w:rPr>
            </w:pPr>
          </w:p>
        </w:tc>
        <w:tc>
          <w:tcPr>
            <w:tcW w:w="720" w:type="dxa"/>
            <w:tcBorders>
              <w:left w:val="single" w:color="auto" w:sz="4" w:space="0"/>
              <w:right w:val="single" w:color="auto" w:sz="4" w:space="0"/>
            </w:tcBorders>
            <w:vAlign w:val="center"/>
          </w:tcPr>
          <w:p>
            <w:pPr>
              <w:spacing w:line="240" w:lineRule="atLeast"/>
              <w:jc w:val="center"/>
              <w:rPr>
                <w:rFonts w:ascii="宋体" w:hAnsi="宋体" w:cs="宋体"/>
                <w:szCs w:val="21"/>
              </w:rPr>
            </w:pPr>
            <w:r>
              <w:rPr>
                <w:rFonts w:hint="eastAsia" w:ascii="宋体" w:hAnsi="宋体" w:cs="宋体"/>
                <w:szCs w:val="21"/>
              </w:rPr>
              <w:t>服务方面</w:t>
            </w:r>
          </w:p>
        </w:tc>
        <w:tc>
          <w:tcPr>
            <w:tcW w:w="6384" w:type="dxa"/>
            <w:gridSpan w:val="3"/>
            <w:tcBorders>
              <w:left w:val="single" w:color="auto" w:sz="4" w:space="0"/>
            </w:tcBorders>
            <w:vAlign w:val="center"/>
          </w:tcPr>
          <w:p>
            <w:pPr>
              <w:spacing w:line="240" w:lineRule="atLeast"/>
              <w:jc w:val="center"/>
              <w:rPr>
                <w:rFonts w:ascii="宋体" w:hAnsi="宋体" w:cs="宋体"/>
                <w:szCs w:val="21"/>
              </w:rPr>
            </w:pPr>
            <w:r>
              <w:rPr>
                <w:rFonts w:hint="eastAsia" w:ascii="宋体" w:hAnsi="宋体" w:cs="宋体"/>
                <w:szCs w:val="21"/>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pPr>
              <w:spacing w:line="240" w:lineRule="atLeast"/>
              <w:jc w:val="center"/>
              <w:rPr>
                <w:rFonts w:ascii="宋体" w:hAnsi="宋体" w:cs="宋体"/>
                <w:szCs w:val="21"/>
              </w:rPr>
            </w:pPr>
          </w:p>
        </w:tc>
        <w:tc>
          <w:tcPr>
            <w:tcW w:w="720" w:type="dxa"/>
            <w:vMerge w:val="continue"/>
            <w:tcBorders>
              <w:right w:val="single" w:color="auto" w:sz="4" w:space="0"/>
            </w:tcBorders>
            <w:vAlign w:val="center"/>
          </w:tcPr>
          <w:p>
            <w:pPr>
              <w:spacing w:line="240" w:lineRule="atLeast"/>
              <w:jc w:val="center"/>
              <w:rPr>
                <w:rFonts w:ascii="宋体" w:hAnsi="宋体" w:cs="宋体"/>
                <w:szCs w:val="21"/>
              </w:rPr>
            </w:pPr>
          </w:p>
        </w:tc>
        <w:tc>
          <w:tcPr>
            <w:tcW w:w="720" w:type="dxa"/>
            <w:tcBorders>
              <w:left w:val="single" w:color="auto" w:sz="4" w:space="0"/>
              <w:right w:val="single" w:color="auto" w:sz="4" w:space="0"/>
            </w:tcBorders>
            <w:vAlign w:val="center"/>
          </w:tcPr>
          <w:p>
            <w:pPr>
              <w:spacing w:line="240" w:lineRule="atLeast"/>
              <w:jc w:val="center"/>
              <w:rPr>
                <w:rFonts w:ascii="宋体" w:hAnsi="宋体" w:cs="宋体"/>
                <w:szCs w:val="21"/>
              </w:rPr>
            </w:pPr>
            <w:r>
              <w:rPr>
                <w:rFonts w:hint="eastAsia" w:ascii="宋体" w:hAnsi="宋体" w:cs="宋体"/>
                <w:szCs w:val="21"/>
              </w:rPr>
              <w:t>时间方面</w:t>
            </w:r>
          </w:p>
        </w:tc>
        <w:tc>
          <w:tcPr>
            <w:tcW w:w="6384" w:type="dxa"/>
            <w:gridSpan w:val="3"/>
            <w:tcBorders>
              <w:left w:val="single" w:color="auto" w:sz="4" w:space="0"/>
            </w:tcBorders>
            <w:vAlign w:val="center"/>
          </w:tcPr>
          <w:p>
            <w:pPr>
              <w:spacing w:line="240" w:lineRule="atLeast"/>
              <w:jc w:val="center"/>
              <w:rPr>
                <w:rFonts w:ascii="宋体" w:hAnsi="宋体" w:cs="宋体"/>
                <w:szCs w:val="21"/>
              </w:rPr>
            </w:pPr>
            <w:r>
              <w:rPr>
                <w:rFonts w:hint="eastAsia" w:ascii="宋体" w:hAnsi="宋体" w:cs="宋体"/>
                <w:szCs w:val="21"/>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pPr>
              <w:spacing w:line="240" w:lineRule="atLeast"/>
              <w:jc w:val="center"/>
              <w:rPr>
                <w:rFonts w:ascii="宋体" w:hAnsi="宋体" w:cs="宋体"/>
                <w:szCs w:val="21"/>
              </w:rPr>
            </w:pPr>
          </w:p>
        </w:tc>
        <w:tc>
          <w:tcPr>
            <w:tcW w:w="720" w:type="dxa"/>
            <w:vMerge w:val="continue"/>
            <w:tcBorders>
              <w:right w:val="single" w:color="auto" w:sz="4" w:space="0"/>
            </w:tcBorders>
            <w:vAlign w:val="center"/>
          </w:tcPr>
          <w:p>
            <w:pPr>
              <w:spacing w:line="240" w:lineRule="atLeast"/>
              <w:jc w:val="center"/>
              <w:rPr>
                <w:rFonts w:ascii="宋体" w:hAnsi="宋体" w:cs="宋体"/>
                <w:szCs w:val="21"/>
              </w:rPr>
            </w:pPr>
          </w:p>
        </w:tc>
        <w:tc>
          <w:tcPr>
            <w:tcW w:w="720" w:type="dxa"/>
            <w:tcBorders>
              <w:left w:val="single" w:color="auto" w:sz="4" w:space="0"/>
              <w:right w:val="single" w:color="auto" w:sz="4" w:space="0"/>
            </w:tcBorders>
            <w:vAlign w:val="center"/>
          </w:tcPr>
          <w:p>
            <w:pPr>
              <w:spacing w:line="240" w:lineRule="atLeast"/>
              <w:jc w:val="center"/>
              <w:rPr>
                <w:rFonts w:ascii="宋体" w:hAnsi="宋体" w:cs="宋体"/>
                <w:szCs w:val="21"/>
              </w:rPr>
            </w:pPr>
            <w:r>
              <w:rPr>
                <w:rFonts w:hint="eastAsia" w:ascii="宋体" w:hAnsi="宋体" w:cs="宋体"/>
                <w:szCs w:val="21"/>
              </w:rPr>
              <w:t>环境保护</w:t>
            </w:r>
          </w:p>
        </w:tc>
        <w:tc>
          <w:tcPr>
            <w:tcW w:w="6384" w:type="dxa"/>
            <w:gridSpan w:val="3"/>
            <w:tcBorders>
              <w:left w:val="single" w:color="auto" w:sz="4" w:space="0"/>
            </w:tcBorders>
            <w:vAlign w:val="center"/>
          </w:tcPr>
          <w:p>
            <w:pPr>
              <w:spacing w:line="240" w:lineRule="atLeast"/>
              <w:jc w:val="center"/>
              <w:rPr>
                <w:rFonts w:ascii="宋体" w:hAnsi="宋体" w:cs="宋体"/>
                <w:szCs w:val="21"/>
              </w:rPr>
            </w:pPr>
            <w:r>
              <w:rPr>
                <w:rFonts w:hint="eastAsia" w:ascii="宋体" w:hAnsi="宋体" w:cs="宋体"/>
                <w:szCs w:val="21"/>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pPr>
              <w:spacing w:line="240" w:lineRule="atLeast"/>
              <w:jc w:val="center"/>
              <w:rPr>
                <w:rFonts w:ascii="宋体" w:hAnsi="宋体" w:cs="宋体"/>
                <w:szCs w:val="21"/>
              </w:rPr>
            </w:pPr>
          </w:p>
        </w:tc>
        <w:tc>
          <w:tcPr>
            <w:tcW w:w="720" w:type="dxa"/>
            <w:vMerge w:val="continue"/>
            <w:tcBorders>
              <w:right w:val="single" w:color="auto" w:sz="4" w:space="0"/>
            </w:tcBorders>
            <w:vAlign w:val="center"/>
          </w:tcPr>
          <w:p>
            <w:pPr>
              <w:spacing w:line="240" w:lineRule="atLeast"/>
              <w:jc w:val="center"/>
              <w:rPr>
                <w:rFonts w:ascii="宋体" w:hAnsi="宋体" w:cs="宋体"/>
                <w:szCs w:val="21"/>
              </w:rPr>
            </w:pPr>
          </w:p>
        </w:tc>
        <w:tc>
          <w:tcPr>
            <w:tcW w:w="720" w:type="dxa"/>
            <w:tcBorders>
              <w:left w:val="single" w:color="auto" w:sz="4" w:space="0"/>
              <w:right w:val="single" w:color="auto" w:sz="4" w:space="0"/>
            </w:tcBorders>
            <w:vAlign w:val="center"/>
          </w:tcPr>
          <w:p>
            <w:pPr>
              <w:spacing w:line="240" w:lineRule="atLeast"/>
              <w:jc w:val="center"/>
              <w:rPr>
                <w:rFonts w:ascii="宋体" w:hAnsi="宋体" w:cs="宋体"/>
                <w:szCs w:val="21"/>
              </w:rPr>
            </w:pPr>
            <w:r>
              <w:rPr>
                <w:rFonts w:hint="eastAsia" w:ascii="宋体" w:hAnsi="宋体" w:cs="宋体"/>
                <w:szCs w:val="21"/>
              </w:rPr>
              <w:t>其他</w:t>
            </w:r>
          </w:p>
        </w:tc>
        <w:tc>
          <w:tcPr>
            <w:tcW w:w="6384" w:type="dxa"/>
            <w:gridSpan w:val="3"/>
            <w:tcBorders>
              <w:left w:val="single" w:color="auto" w:sz="4" w:space="0"/>
            </w:tcBorders>
            <w:vAlign w:val="center"/>
          </w:tcPr>
          <w:p>
            <w:pPr>
              <w:spacing w:before="156" w:beforeLines="50" w:after="156" w:afterLines="50" w:line="240" w:lineRule="atLeast"/>
              <w:rPr>
                <w:rFonts w:ascii="宋体" w:hAnsi="宋体" w:cs="宋体"/>
                <w:szCs w:val="21"/>
                <w:u w:val="single"/>
              </w:rPr>
            </w:pPr>
            <w:r>
              <w:rPr>
                <w:rFonts w:hint="eastAsia" w:ascii="宋体" w:hAnsi="宋体" w:cs="宋体"/>
                <w:szCs w:val="21"/>
              </w:rPr>
              <w:t>评价内容为：</w:t>
            </w:r>
            <w:r>
              <w:rPr>
                <w:rFonts w:hint="eastAsia" w:ascii="宋体" w:hAnsi="宋体" w:cs="宋体"/>
                <w:szCs w:val="21"/>
                <w:u w:val="single"/>
              </w:rPr>
              <w:t xml:space="preserve">                    </w:t>
            </w:r>
          </w:p>
          <w:p>
            <w:pPr>
              <w:spacing w:before="156" w:beforeLines="50" w:after="156" w:afterLines="50" w:line="240" w:lineRule="atLeast"/>
              <w:rPr>
                <w:rFonts w:ascii="宋体" w:hAnsi="宋体" w:cs="宋体"/>
                <w:szCs w:val="21"/>
              </w:rPr>
            </w:pPr>
            <w:r>
              <w:rPr>
                <w:rFonts w:hint="eastAsia" w:ascii="宋体" w:hAnsi="宋体" w:cs="宋体"/>
                <w:szCs w:val="21"/>
              </w:rPr>
              <w:t>评价等级为：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226" w:hRule="atLeast"/>
          <w:jc w:val="center"/>
        </w:trPr>
        <w:tc>
          <w:tcPr>
            <w:tcW w:w="1562" w:type="dxa"/>
            <w:gridSpan w:val="2"/>
            <w:vAlign w:val="center"/>
          </w:tcPr>
          <w:p>
            <w:pPr>
              <w:spacing w:line="240" w:lineRule="atLeast"/>
              <w:jc w:val="center"/>
              <w:rPr>
                <w:rFonts w:ascii="宋体" w:hAnsi="宋体" w:cs="宋体"/>
                <w:szCs w:val="21"/>
              </w:rPr>
            </w:pPr>
            <w:r>
              <w:rPr>
                <w:rFonts w:hint="eastAsia" w:ascii="宋体" w:hAnsi="宋体" w:cs="宋体"/>
                <w:szCs w:val="21"/>
              </w:rPr>
              <w:t>具体情况说明</w:t>
            </w:r>
          </w:p>
        </w:tc>
        <w:tc>
          <w:tcPr>
            <w:tcW w:w="7104" w:type="dxa"/>
            <w:gridSpan w:val="4"/>
          </w:tcPr>
          <w:p>
            <w:pPr>
              <w:spacing w:line="240" w:lineRule="atLeast"/>
              <w:rPr>
                <w:rFonts w:ascii="宋体" w:hAnsi="宋体" w:cs="宋体"/>
                <w:szCs w:val="21"/>
              </w:rPr>
            </w:pPr>
          </w:p>
          <w:p>
            <w:pPr>
              <w:spacing w:line="240" w:lineRule="atLeast"/>
              <w:rPr>
                <w:rFonts w:ascii="宋体" w:hAnsi="宋体" w:cs="宋体"/>
                <w:szCs w:val="21"/>
              </w:rPr>
            </w:pPr>
          </w:p>
          <w:p>
            <w:pPr>
              <w:spacing w:line="240" w:lineRule="atLeast"/>
              <w:rPr>
                <w:rFonts w:ascii="宋体" w:hAnsi="宋体" w:cs="宋体"/>
                <w:szCs w:val="21"/>
              </w:rPr>
            </w:pPr>
          </w:p>
          <w:p>
            <w:pPr>
              <w:spacing w:line="240" w:lineRule="atLeast"/>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510" w:hRule="atLeast"/>
          <w:jc w:val="center"/>
        </w:trPr>
        <w:tc>
          <w:tcPr>
            <w:tcW w:w="1562" w:type="dxa"/>
            <w:gridSpan w:val="2"/>
            <w:vAlign w:val="center"/>
          </w:tcPr>
          <w:p>
            <w:pPr>
              <w:spacing w:line="240" w:lineRule="atLeast"/>
              <w:jc w:val="center"/>
              <w:rPr>
                <w:rFonts w:ascii="宋体" w:hAnsi="宋体" w:cs="宋体"/>
                <w:szCs w:val="21"/>
              </w:rPr>
            </w:pPr>
            <w:r>
              <w:rPr>
                <w:rFonts w:hint="eastAsia" w:ascii="宋体" w:hAnsi="宋体" w:cs="宋体"/>
                <w:szCs w:val="21"/>
              </w:rPr>
              <w:t>采购单位意见</w:t>
            </w:r>
          </w:p>
          <w:p>
            <w:pPr>
              <w:spacing w:line="240" w:lineRule="atLeast"/>
              <w:jc w:val="center"/>
              <w:rPr>
                <w:rFonts w:ascii="宋体" w:hAnsi="宋体" w:cs="宋体"/>
                <w:szCs w:val="21"/>
              </w:rPr>
            </w:pPr>
            <w:r>
              <w:rPr>
                <w:rFonts w:hint="eastAsia" w:ascii="宋体" w:hAnsi="宋体" w:cs="宋体"/>
                <w:szCs w:val="21"/>
              </w:rPr>
              <w:t>（公章）</w:t>
            </w:r>
          </w:p>
        </w:tc>
        <w:tc>
          <w:tcPr>
            <w:tcW w:w="7104" w:type="dxa"/>
            <w:gridSpan w:val="4"/>
            <w:vAlign w:val="center"/>
          </w:tcPr>
          <w:p>
            <w:pPr>
              <w:spacing w:line="240" w:lineRule="atLeast"/>
              <w:rPr>
                <w:rFonts w:ascii="宋体" w:hAnsi="宋体" w:cs="宋体"/>
                <w:szCs w:val="21"/>
              </w:rPr>
            </w:pPr>
          </w:p>
          <w:p>
            <w:pPr>
              <w:spacing w:line="240" w:lineRule="atLeast"/>
              <w:rPr>
                <w:rFonts w:ascii="宋体" w:hAnsi="宋体" w:cs="宋体"/>
                <w:szCs w:val="21"/>
              </w:rPr>
            </w:pPr>
          </w:p>
          <w:p>
            <w:pPr>
              <w:spacing w:line="240" w:lineRule="atLeast"/>
              <w:rPr>
                <w:rFonts w:ascii="宋体" w:hAnsi="宋体" w:cs="宋体"/>
                <w:szCs w:val="21"/>
              </w:rPr>
            </w:pPr>
          </w:p>
          <w:p>
            <w:pPr>
              <w:spacing w:line="240" w:lineRule="atLeast"/>
              <w:rPr>
                <w:rFonts w:ascii="宋体" w:hAnsi="宋体" w:cs="宋体"/>
                <w:szCs w:val="21"/>
              </w:rPr>
            </w:pPr>
            <w:r>
              <w:rPr>
                <w:rFonts w:hint="eastAsia" w:ascii="宋体" w:hAnsi="宋体" w:cs="宋体"/>
                <w:szCs w:val="21"/>
              </w:rPr>
              <w:t xml:space="preserve">                                        </w:t>
            </w:r>
          </w:p>
          <w:p>
            <w:pPr>
              <w:spacing w:line="240" w:lineRule="atLeast"/>
              <w:ind w:firstLine="3780" w:firstLineChars="1800"/>
              <w:rPr>
                <w:rFonts w:ascii="宋体" w:hAnsi="宋体" w:cs="宋体"/>
                <w:szCs w:val="21"/>
              </w:rPr>
            </w:pPr>
          </w:p>
          <w:p>
            <w:pPr>
              <w:spacing w:line="240" w:lineRule="atLeast"/>
              <w:ind w:firstLine="3780" w:firstLineChars="1800"/>
              <w:rPr>
                <w:rFonts w:ascii="宋体" w:hAnsi="宋体" w:cs="宋体"/>
                <w:szCs w:val="21"/>
              </w:rPr>
            </w:pPr>
            <w:r>
              <w:rPr>
                <w:rFonts w:hint="eastAsia" w:ascii="宋体" w:hAnsi="宋体" w:cs="宋体"/>
                <w:szCs w:val="21"/>
              </w:rPr>
              <w:t>日期：   年   月   日</w:t>
            </w:r>
          </w:p>
        </w:tc>
      </w:tr>
    </w:tbl>
    <w:p>
      <w:pPr>
        <w:spacing w:line="240" w:lineRule="atLeast"/>
        <w:rPr>
          <w:rFonts w:ascii="宋体" w:hAnsi="宋体" w:cs="宋体"/>
          <w:szCs w:val="21"/>
        </w:rPr>
      </w:pPr>
      <w:r>
        <w:rPr>
          <w:rFonts w:hint="eastAsia" w:ascii="宋体" w:hAnsi="宋体" w:cs="宋体"/>
          <w:szCs w:val="21"/>
        </w:rPr>
        <w:t>说明：</w:t>
      </w:r>
    </w:p>
    <w:p>
      <w:pPr>
        <w:spacing w:line="240" w:lineRule="atLeast"/>
        <w:rPr>
          <w:rFonts w:ascii="宋体" w:hAnsi="宋体" w:cs="宋体"/>
          <w:szCs w:val="21"/>
        </w:rPr>
      </w:pPr>
      <w:r>
        <w:rPr>
          <w:rFonts w:hint="eastAsia" w:ascii="宋体" w:hAnsi="宋体" w:cs="宋体"/>
          <w:szCs w:val="21"/>
        </w:rPr>
        <w:t>1、本表为采购单位反映政府采购项目履约情况时所用；</w:t>
      </w:r>
    </w:p>
    <w:p>
      <w:pPr>
        <w:spacing w:line="240" w:lineRule="atLeast"/>
      </w:pPr>
      <w:r>
        <w:rPr>
          <w:rFonts w:hint="eastAsia" w:ascii="宋体" w:hAnsi="宋体" w:cs="宋体"/>
          <w:szCs w:val="21"/>
        </w:rPr>
        <w:t>2、履约情况评价分为优、良、中、差四个等级，请在对应的框前打“√”，然后在“具体情况说明”一栏详细说明有关情况。</w:t>
      </w:r>
    </w:p>
    <w:p/>
    <w:p/>
    <w:p/>
    <w:p/>
    <w:p/>
    <w:p/>
    <w:p/>
    <w:p/>
    <w:p/>
    <w:p/>
    <w:p/>
    <w:p>
      <w:pPr>
        <w:pStyle w:val="4"/>
      </w:pPr>
      <w:r>
        <w:t>第二册  通用条款</w:t>
      </w:r>
      <w:r>
        <w:br w:type="page"/>
      </w:r>
    </w:p>
    <w:p/>
    <w:p/>
    <w:p/>
    <w:p/>
    <w:p/>
    <w:p/>
    <w:p/>
    <w:p/>
    <w:p/>
    <w:p/>
    <w:p/>
    <w:p/>
    <w:p/>
    <w:p/>
    <w:p/>
    <w:p/>
    <w:p>
      <w:pPr>
        <w:pStyle w:val="5"/>
        <w:rPr>
          <w:rFonts w:ascii="宋体" w:hAnsi="宋体" w:cs="宋体"/>
          <w:sz w:val="22"/>
          <w:szCs w:val="22"/>
        </w:rPr>
      </w:pPr>
      <w:r>
        <w:rPr>
          <w:bCs/>
          <w:sz w:val="32"/>
          <w:szCs w:val="32"/>
        </w:rPr>
        <w:t>第一章  总则</w:t>
      </w:r>
      <w:r>
        <w:rPr>
          <w:bCs/>
          <w:sz w:val="32"/>
          <w:szCs w:val="32"/>
        </w:rPr>
        <w:br w:type="page"/>
      </w:r>
    </w:p>
    <w:p>
      <w:pPr>
        <w:rPr>
          <w:rFonts w:ascii="宋体" w:hAnsi="宋体" w:cs="宋体"/>
          <w:sz w:val="22"/>
        </w:rPr>
      </w:pPr>
    </w:p>
    <w:p>
      <w:pPr>
        <w:numPr>
          <w:ilvl w:val="0"/>
          <w:numId w:val="12"/>
        </w:numPr>
        <w:rPr>
          <w:rFonts w:ascii="宋体" w:hAnsi="宋体" w:cs="宋体"/>
          <w:sz w:val="22"/>
        </w:rPr>
      </w:pPr>
      <w:r>
        <w:rPr>
          <w:rFonts w:hint="eastAsia" w:ascii="宋体" w:hAnsi="宋体" w:cs="宋体"/>
          <w:sz w:val="22"/>
        </w:rPr>
        <w:t>通用条款说明</w:t>
      </w:r>
    </w:p>
    <w:p>
      <w:pPr>
        <w:numPr>
          <w:ilvl w:val="1"/>
          <w:numId w:val="13"/>
        </w:numPr>
        <w:rPr>
          <w:rFonts w:ascii="宋体" w:hAnsi="宋体" w:cs="宋体"/>
          <w:sz w:val="22"/>
        </w:rPr>
      </w:pPr>
      <w:r>
        <w:rPr>
          <w:rFonts w:hint="eastAsia" w:ascii="宋体" w:hAnsi="宋体" w:cs="宋体"/>
          <w:sz w:val="22"/>
        </w:rPr>
        <w:t>政府采购代理机构发出采购文件通用条款版本，列出深圳市政府采购项目进行招标采购所适用的通用条款内容。如有需要，政府采购代理机构可以对这些条款增加附录或补充内容。</w:t>
      </w:r>
    </w:p>
    <w:p>
      <w:pPr>
        <w:ind w:left="907"/>
        <w:rPr>
          <w:rFonts w:ascii="宋体" w:hAnsi="宋体" w:cs="宋体"/>
          <w:sz w:val="22"/>
        </w:rPr>
      </w:pPr>
    </w:p>
    <w:p>
      <w:pPr>
        <w:numPr>
          <w:ilvl w:val="0"/>
          <w:numId w:val="12"/>
        </w:numPr>
        <w:rPr>
          <w:rFonts w:ascii="宋体" w:hAnsi="宋体" w:cs="宋体"/>
          <w:sz w:val="22"/>
        </w:rPr>
      </w:pPr>
      <w:bookmarkStart w:id="33" w:name="_Toc60560627"/>
      <w:bookmarkStart w:id="34" w:name="_Toc60631622"/>
      <w:bookmarkStart w:id="35" w:name="_Toc73517641"/>
      <w:bookmarkStart w:id="36" w:name="_Toc100052366"/>
      <w:bookmarkStart w:id="37" w:name="_Toc73521637"/>
      <w:bookmarkStart w:id="38" w:name="_Toc73518119"/>
      <w:bookmarkStart w:id="39" w:name="_Toc73521549"/>
      <w:bookmarkStart w:id="40" w:name="_Toc100052368"/>
      <w:bookmarkStart w:id="41" w:name="_Toc60631624"/>
      <w:bookmarkStart w:id="42" w:name="_Toc73517643"/>
      <w:bookmarkStart w:id="43" w:name="_Toc60560629"/>
      <w:bookmarkStart w:id="44" w:name="_Toc73521551"/>
      <w:bookmarkStart w:id="45" w:name="_Toc73521639"/>
      <w:bookmarkStart w:id="46" w:name="_Toc73518121"/>
      <w:r>
        <w:rPr>
          <w:rFonts w:hint="eastAsia" w:ascii="宋体" w:hAnsi="宋体" w:cs="宋体"/>
          <w:sz w:val="22"/>
        </w:rPr>
        <w:t>采购说明</w:t>
      </w:r>
      <w:bookmarkEnd w:id="33"/>
      <w:bookmarkEnd w:id="34"/>
      <w:bookmarkEnd w:id="35"/>
      <w:bookmarkEnd w:id="36"/>
      <w:bookmarkEnd w:id="37"/>
      <w:bookmarkEnd w:id="38"/>
      <w:bookmarkEnd w:id="39"/>
    </w:p>
    <w:p>
      <w:pPr>
        <w:numPr>
          <w:ilvl w:val="1"/>
          <w:numId w:val="13"/>
        </w:numPr>
        <w:rPr>
          <w:rFonts w:ascii="宋体" w:hAnsi="宋体" w:cs="宋体"/>
          <w:sz w:val="22"/>
        </w:rPr>
      </w:pPr>
      <w:r>
        <w:rPr>
          <w:rFonts w:hint="eastAsia" w:ascii="宋体" w:hAnsi="宋体" w:cs="宋体"/>
          <w:sz w:val="22"/>
        </w:rPr>
        <w:t>本项目参照《深圳经济特区政府采购条例》的规定，并参考有关法规、政策、规章、规定通过招标择优选定供应商。</w:t>
      </w:r>
    </w:p>
    <w:p>
      <w:pPr>
        <w:ind w:left="907"/>
        <w:rPr>
          <w:rFonts w:ascii="宋体" w:hAnsi="宋体" w:cs="宋体"/>
          <w:sz w:val="22"/>
        </w:rPr>
      </w:pPr>
    </w:p>
    <w:p>
      <w:pPr>
        <w:numPr>
          <w:ilvl w:val="0"/>
          <w:numId w:val="12"/>
        </w:numPr>
        <w:rPr>
          <w:rFonts w:ascii="宋体" w:hAnsi="宋体" w:cs="宋体"/>
          <w:sz w:val="22"/>
        </w:rPr>
      </w:pPr>
      <w:bookmarkStart w:id="47" w:name="_Toc73518120"/>
      <w:bookmarkStart w:id="48" w:name="_Toc60560628"/>
      <w:bookmarkStart w:id="49" w:name="_Toc100052367"/>
      <w:bookmarkStart w:id="50" w:name="_Toc73521550"/>
      <w:bookmarkStart w:id="51" w:name="_Toc60631623"/>
      <w:bookmarkStart w:id="52" w:name="_Toc73517642"/>
      <w:bookmarkStart w:id="53" w:name="_Toc73521638"/>
      <w:r>
        <w:rPr>
          <w:rFonts w:hint="eastAsia" w:ascii="宋体" w:hAnsi="宋体" w:cs="宋体"/>
          <w:sz w:val="22"/>
        </w:rPr>
        <w:t>定义</w:t>
      </w:r>
      <w:bookmarkEnd w:id="47"/>
      <w:bookmarkEnd w:id="48"/>
      <w:bookmarkEnd w:id="49"/>
      <w:bookmarkEnd w:id="50"/>
      <w:bookmarkEnd w:id="51"/>
      <w:bookmarkEnd w:id="52"/>
      <w:bookmarkEnd w:id="53"/>
    </w:p>
    <w:p>
      <w:pPr>
        <w:ind w:left="907"/>
        <w:rPr>
          <w:rFonts w:ascii="宋体" w:hAnsi="宋体" w:cs="宋体"/>
          <w:sz w:val="22"/>
        </w:rPr>
      </w:pPr>
      <w:r>
        <w:rPr>
          <w:rFonts w:hint="eastAsia" w:ascii="宋体" w:hAnsi="宋体" w:cs="宋体"/>
          <w:sz w:val="22"/>
        </w:rPr>
        <w:t>采购文件中下列术语应解释为：</w:t>
      </w:r>
    </w:p>
    <w:p>
      <w:pPr>
        <w:numPr>
          <w:ilvl w:val="1"/>
          <w:numId w:val="13"/>
        </w:numPr>
        <w:rPr>
          <w:rFonts w:ascii="宋体" w:hAnsi="宋体" w:cs="宋体"/>
          <w:sz w:val="22"/>
        </w:rPr>
      </w:pPr>
      <w:r>
        <w:rPr>
          <w:rFonts w:hint="eastAsia" w:ascii="宋体" w:hAnsi="宋体" w:cs="宋体"/>
          <w:sz w:val="22"/>
        </w:rPr>
        <w:t>“政府采购代理机构”系指依法设立的负责采购组织工作的专门机构；本项目系指深圳市东海国际招标有限公司；</w:t>
      </w:r>
    </w:p>
    <w:p>
      <w:pPr>
        <w:numPr>
          <w:ilvl w:val="1"/>
          <w:numId w:val="13"/>
        </w:numPr>
        <w:rPr>
          <w:rFonts w:ascii="宋体" w:hAnsi="宋体" w:cs="宋体"/>
          <w:sz w:val="22"/>
        </w:rPr>
      </w:pPr>
      <w:r>
        <w:rPr>
          <w:rFonts w:hint="eastAsia" w:ascii="宋体" w:hAnsi="宋体" w:cs="宋体"/>
          <w:sz w:val="22"/>
        </w:rPr>
        <w:t xml:space="preserve">“采购人”或“采购单位”：系指利用财政性资金依法进行政府采购的国家机关、事业单位、团体组织； </w:t>
      </w:r>
    </w:p>
    <w:p>
      <w:pPr>
        <w:numPr>
          <w:ilvl w:val="1"/>
          <w:numId w:val="13"/>
        </w:numPr>
        <w:rPr>
          <w:rFonts w:ascii="宋体" w:hAnsi="宋体" w:cs="宋体"/>
          <w:sz w:val="22"/>
        </w:rPr>
      </w:pPr>
      <w:r>
        <w:rPr>
          <w:rFonts w:hint="eastAsia" w:ascii="宋体" w:hAnsi="宋体" w:cs="宋体"/>
          <w:sz w:val="22"/>
        </w:rPr>
        <w:t>“投标人”或“投标方”，即供应商，是指参加投标竞争并愿意按照采购文件要求向采购人提供货物、工程或者服务的依法成立的法人、其他组织或者自然人；</w:t>
      </w:r>
    </w:p>
    <w:p>
      <w:pPr>
        <w:numPr>
          <w:ilvl w:val="1"/>
          <w:numId w:val="13"/>
        </w:numPr>
        <w:rPr>
          <w:rFonts w:ascii="宋体" w:hAnsi="宋体" w:cs="宋体"/>
          <w:sz w:val="22"/>
        </w:rPr>
      </w:pPr>
      <w:r>
        <w:rPr>
          <w:rFonts w:hint="eastAsia" w:ascii="宋体" w:hAnsi="宋体" w:cs="宋体"/>
          <w:sz w:val="22"/>
        </w:rPr>
        <w:t>“评审委员会”和“谈判小组”是参照《深圳经济特区政府采购条例》有关规定组建的专门负责本次采购其评标（谈判）工作的临时性机构；</w:t>
      </w:r>
    </w:p>
    <w:p>
      <w:pPr>
        <w:numPr>
          <w:ilvl w:val="1"/>
          <w:numId w:val="13"/>
        </w:numPr>
        <w:rPr>
          <w:rFonts w:ascii="宋体" w:hAnsi="宋体" w:cs="宋体"/>
          <w:sz w:val="22"/>
        </w:rPr>
      </w:pPr>
      <w:r>
        <w:rPr>
          <w:rFonts w:hint="eastAsia" w:ascii="宋体" w:hAnsi="宋体" w:cs="宋体"/>
          <w:sz w:val="22"/>
        </w:rPr>
        <w:t>“日期”指公历日；</w:t>
      </w:r>
    </w:p>
    <w:p>
      <w:pPr>
        <w:numPr>
          <w:ilvl w:val="1"/>
          <w:numId w:val="13"/>
        </w:numPr>
        <w:rPr>
          <w:rFonts w:ascii="宋体" w:hAnsi="宋体" w:cs="宋体"/>
          <w:sz w:val="22"/>
        </w:rPr>
      </w:pPr>
      <w:r>
        <w:rPr>
          <w:rFonts w:hint="eastAsia" w:ascii="宋体" w:hAnsi="宋体" w:cs="宋体"/>
          <w:sz w:val="22"/>
        </w:rPr>
        <w:t>“合同”指由本次招标所产生的合同或合约文件。</w:t>
      </w:r>
    </w:p>
    <w:p>
      <w:pPr>
        <w:ind w:left="907"/>
        <w:rPr>
          <w:rFonts w:ascii="宋体" w:hAnsi="宋体" w:cs="宋体"/>
          <w:sz w:val="22"/>
        </w:rPr>
      </w:pPr>
    </w:p>
    <w:p>
      <w:pPr>
        <w:numPr>
          <w:ilvl w:val="0"/>
          <w:numId w:val="12"/>
        </w:numPr>
        <w:rPr>
          <w:rFonts w:ascii="宋体" w:hAnsi="宋体" w:cs="宋体"/>
          <w:sz w:val="22"/>
        </w:rPr>
      </w:pPr>
      <w:r>
        <w:rPr>
          <w:rFonts w:hint="eastAsia" w:ascii="宋体" w:hAnsi="宋体" w:cs="宋体"/>
          <w:sz w:val="22"/>
        </w:rPr>
        <w:t>政府采购供应商责任</w:t>
      </w:r>
    </w:p>
    <w:p>
      <w:pPr>
        <w:numPr>
          <w:ilvl w:val="1"/>
          <w:numId w:val="13"/>
        </w:numPr>
        <w:rPr>
          <w:rFonts w:ascii="宋体" w:hAnsi="宋体" w:cs="宋体"/>
          <w:sz w:val="22"/>
        </w:rPr>
      </w:pPr>
      <w:r>
        <w:rPr>
          <w:rFonts w:hint="eastAsia" w:ascii="宋体" w:hAnsi="宋体" w:cs="宋体"/>
          <w:sz w:val="22"/>
        </w:rPr>
        <w:t>欢迎诚信、有实力和有社会责任心的供应商参与政府采购事业。</w:t>
      </w:r>
    </w:p>
    <w:p>
      <w:pPr>
        <w:numPr>
          <w:ilvl w:val="1"/>
          <w:numId w:val="13"/>
        </w:numPr>
        <w:rPr>
          <w:rFonts w:ascii="宋体" w:hAnsi="宋体" w:cs="宋体"/>
          <w:sz w:val="22"/>
        </w:rPr>
      </w:pPr>
      <w:r>
        <w:rPr>
          <w:rFonts w:hint="eastAsia" w:ascii="宋体" w:hAnsi="宋体" w:cs="宋体"/>
          <w:sz w:val="22"/>
        </w:rPr>
        <w:t>供应商在政府采购项目投标过程中应诚实守信，不弄虚作假，不隐瞒真实情况，不围标串标，不恶意质疑投诉。如违反上述要求，经核实后，供应商的投标将作废，没收投标保证金，将该供应商列入不良记录名单并在网上曝光，同时提请政府采购监督管理部门给予一定年限内禁止参加政府采购活动的处罚或其他处罚。</w:t>
      </w:r>
    </w:p>
    <w:p>
      <w:pPr>
        <w:ind w:left="907"/>
        <w:rPr>
          <w:rFonts w:ascii="宋体" w:hAnsi="宋体" w:cs="宋体"/>
          <w:sz w:val="22"/>
        </w:rPr>
      </w:pPr>
    </w:p>
    <w:bookmarkEnd w:id="40"/>
    <w:bookmarkEnd w:id="41"/>
    <w:bookmarkEnd w:id="42"/>
    <w:bookmarkEnd w:id="43"/>
    <w:bookmarkEnd w:id="44"/>
    <w:bookmarkEnd w:id="45"/>
    <w:bookmarkEnd w:id="46"/>
    <w:p>
      <w:pPr>
        <w:numPr>
          <w:ilvl w:val="0"/>
          <w:numId w:val="12"/>
        </w:numPr>
        <w:rPr>
          <w:rFonts w:ascii="宋体" w:hAnsi="宋体" w:cs="宋体"/>
          <w:sz w:val="22"/>
        </w:rPr>
      </w:pPr>
      <w:r>
        <w:rPr>
          <w:rFonts w:hint="eastAsia" w:ascii="宋体" w:hAnsi="宋体" w:cs="宋体"/>
          <w:sz w:val="22"/>
        </w:rPr>
        <w:t>投标人参加政府采购的条件</w:t>
      </w:r>
    </w:p>
    <w:p>
      <w:pPr>
        <w:numPr>
          <w:ilvl w:val="1"/>
          <w:numId w:val="13"/>
        </w:numPr>
        <w:ind w:left="950" w:hanging="950" w:hangingChars="432"/>
        <w:rPr>
          <w:rFonts w:ascii="宋体" w:hAnsi="宋体" w:cs="宋体"/>
          <w:sz w:val="22"/>
        </w:rPr>
      </w:pPr>
      <w:r>
        <w:rPr>
          <w:rFonts w:hint="eastAsia" w:ascii="宋体" w:hAnsi="宋体" w:cs="宋体"/>
          <w:sz w:val="22"/>
        </w:rPr>
        <w:t>参加本项目的投标人应具备的资格条件详见本项目采购公告中 “对投标人资格要求”的内容。</w:t>
      </w:r>
    </w:p>
    <w:p>
      <w:pPr>
        <w:ind w:left="907"/>
        <w:rPr>
          <w:rFonts w:ascii="宋体" w:hAnsi="宋体" w:cs="宋体"/>
          <w:sz w:val="22"/>
        </w:rPr>
      </w:pPr>
    </w:p>
    <w:p>
      <w:pPr>
        <w:numPr>
          <w:ilvl w:val="0"/>
          <w:numId w:val="12"/>
        </w:numPr>
        <w:rPr>
          <w:rFonts w:ascii="宋体" w:hAnsi="宋体" w:cs="宋体"/>
          <w:sz w:val="22"/>
        </w:rPr>
      </w:pPr>
      <w:bookmarkStart w:id="54" w:name="_Toc73521553"/>
      <w:bookmarkStart w:id="55" w:name="_Toc73521641"/>
      <w:bookmarkStart w:id="56" w:name="_Toc100052370"/>
      <w:bookmarkStart w:id="57" w:name="_Toc73517645"/>
      <w:bookmarkStart w:id="58" w:name="_Toc60631626"/>
      <w:bookmarkStart w:id="59" w:name="_Toc60560631"/>
      <w:bookmarkStart w:id="60" w:name="_Toc73518123"/>
      <w:r>
        <w:rPr>
          <w:rFonts w:hint="eastAsia" w:ascii="宋体" w:hAnsi="宋体" w:cs="宋体"/>
          <w:sz w:val="22"/>
        </w:rPr>
        <w:t>联合体投标</w:t>
      </w:r>
    </w:p>
    <w:p>
      <w:pPr>
        <w:numPr>
          <w:ilvl w:val="1"/>
          <w:numId w:val="13"/>
        </w:numPr>
        <w:rPr>
          <w:rFonts w:ascii="宋体" w:hAnsi="宋体" w:cs="宋体"/>
          <w:sz w:val="22"/>
        </w:rPr>
      </w:pPr>
      <w:r>
        <w:rPr>
          <w:rFonts w:hint="eastAsia" w:ascii="宋体" w:hAnsi="宋体" w:cs="宋体"/>
          <w:sz w:val="22"/>
        </w:rPr>
        <w:t>以下有关联合体投标的条款仅适用于允许投标人组成联合体投标的项目。</w:t>
      </w:r>
    </w:p>
    <w:p>
      <w:pPr>
        <w:numPr>
          <w:ilvl w:val="1"/>
          <w:numId w:val="13"/>
        </w:numPr>
        <w:rPr>
          <w:rFonts w:ascii="宋体" w:hAnsi="宋体" w:cs="宋体"/>
          <w:sz w:val="22"/>
        </w:rPr>
      </w:pPr>
      <w:r>
        <w:rPr>
          <w:rFonts w:hint="eastAsia" w:ascii="宋体" w:hAnsi="宋体" w:cs="宋体"/>
          <w:sz w:val="22"/>
        </w:rPr>
        <w:t>由两个或两个以上的自然人、法人或者其他组织可以组成一个联合体，以一个供应商的身份共同投标时，应符合以下原则：</w:t>
      </w:r>
    </w:p>
    <w:p>
      <w:pPr>
        <w:numPr>
          <w:ilvl w:val="2"/>
          <w:numId w:val="14"/>
        </w:numPr>
        <w:rPr>
          <w:rFonts w:ascii="宋体" w:hAnsi="宋体" w:cs="宋体"/>
          <w:sz w:val="22"/>
        </w:rPr>
      </w:pPr>
      <w:r>
        <w:rPr>
          <w:rFonts w:hint="eastAsia" w:ascii="宋体" w:hAnsi="宋体" w:cs="宋体"/>
          <w:sz w:val="22"/>
        </w:rPr>
        <w:t xml:space="preserve">投标联合体各方参加政府采购活动应当具备下列条件： </w:t>
      </w:r>
    </w:p>
    <w:p>
      <w:pPr>
        <w:numPr>
          <w:ilvl w:val="3"/>
          <w:numId w:val="15"/>
        </w:numPr>
        <w:rPr>
          <w:rFonts w:ascii="宋体" w:hAnsi="宋体" w:cs="宋体"/>
          <w:sz w:val="22"/>
        </w:rPr>
      </w:pPr>
      <w:r>
        <w:rPr>
          <w:rFonts w:hint="eastAsia" w:ascii="宋体" w:hAnsi="宋体" w:cs="宋体"/>
          <w:sz w:val="22"/>
        </w:rPr>
        <w:t xml:space="preserve">具有独立承担民事责任的能力； </w:t>
      </w:r>
    </w:p>
    <w:p>
      <w:pPr>
        <w:numPr>
          <w:ilvl w:val="3"/>
          <w:numId w:val="15"/>
        </w:numPr>
        <w:rPr>
          <w:rFonts w:ascii="宋体" w:hAnsi="宋体" w:cs="宋体"/>
          <w:sz w:val="22"/>
        </w:rPr>
      </w:pPr>
      <w:r>
        <w:rPr>
          <w:rFonts w:hint="eastAsia" w:ascii="宋体" w:hAnsi="宋体" w:cs="宋体"/>
          <w:sz w:val="22"/>
        </w:rPr>
        <w:t xml:space="preserve">有良好的商业信誉和健全的财务会计制度； </w:t>
      </w:r>
    </w:p>
    <w:p>
      <w:pPr>
        <w:numPr>
          <w:ilvl w:val="3"/>
          <w:numId w:val="15"/>
        </w:numPr>
        <w:rPr>
          <w:rFonts w:ascii="宋体" w:hAnsi="宋体" w:cs="宋体"/>
          <w:sz w:val="22"/>
        </w:rPr>
      </w:pPr>
      <w:r>
        <w:rPr>
          <w:rFonts w:hint="eastAsia" w:ascii="宋体" w:hAnsi="宋体" w:cs="宋体"/>
          <w:sz w:val="22"/>
        </w:rPr>
        <w:t xml:space="preserve">具有履行合同所必需的设备和专业技术能力； </w:t>
      </w:r>
    </w:p>
    <w:p>
      <w:pPr>
        <w:numPr>
          <w:ilvl w:val="3"/>
          <w:numId w:val="15"/>
        </w:numPr>
        <w:rPr>
          <w:rFonts w:ascii="宋体" w:hAnsi="宋体" w:cs="宋体"/>
          <w:sz w:val="22"/>
        </w:rPr>
      </w:pPr>
      <w:r>
        <w:rPr>
          <w:rFonts w:hint="eastAsia" w:ascii="宋体" w:hAnsi="宋体" w:cs="宋体"/>
          <w:sz w:val="22"/>
        </w:rPr>
        <w:t xml:space="preserve">有依法缴纳税收和社会保障资金的良好记录； </w:t>
      </w:r>
    </w:p>
    <w:p>
      <w:pPr>
        <w:numPr>
          <w:ilvl w:val="3"/>
          <w:numId w:val="15"/>
        </w:numPr>
        <w:rPr>
          <w:rFonts w:ascii="宋体" w:hAnsi="宋体" w:cs="宋体"/>
          <w:sz w:val="22"/>
        </w:rPr>
      </w:pPr>
      <w:r>
        <w:rPr>
          <w:rFonts w:hint="eastAsia" w:ascii="宋体" w:hAnsi="宋体" w:cs="宋体"/>
          <w:sz w:val="22"/>
        </w:rPr>
        <w:t xml:space="preserve">参加政府采购活动前三年内，在经营活动中没有重大违法记录； </w:t>
      </w:r>
    </w:p>
    <w:p>
      <w:pPr>
        <w:numPr>
          <w:ilvl w:val="3"/>
          <w:numId w:val="15"/>
        </w:numPr>
        <w:rPr>
          <w:rFonts w:ascii="宋体" w:hAnsi="宋体" w:cs="宋体"/>
          <w:sz w:val="22"/>
        </w:rPr>
      </w:pPr>
      <w:r>
        <w:rPr>
          <w:rFonts w:hint="eastAsia" w:ascii="宋体" w:hAnsi="宋体" w:cs="宋体"/>
          <w:sz w:val="22"/>
        </w:rPr>
        <w:t xml:space="preserve">法律、行政法规规定的其他条件。 </w:t>
      </w:r>
    </w:p>
    <w:p>
      <w:pPr>
        <w:numPr>
          <w:ilvl w:val="2"/>
          <w:numId w:val="14"/>
        </w:numPr>
        <w:rPr>
          <w:rFonts w:ascii="宋体" w:hAnsi="宋体" w:cs="宋体"/>
          <w:sz w:val="22"/>
        </w:rPr>
      </w:pPr>
      <w:r>
        <w:rPr>
          <w:rFonts w:hint="eastAsia" w:ascii="宋体" w:hAnsi="宋体" w:cs="宋体"/>
          <w:sz w:val="22"/>
        </w:rPr>
        <w:t>投标联合体各方必须有一方先行注册成深圳政府采购代理机构供应商；</w:t>
      </w:r>
    </w:p>
    <w:p>
      <w:pPr>
        <w:numPr>
          <w:ilvl w:val="2"/>
          <w:numId w:val="14"/>
        </w:numPr>
        <w:rPr>
          <w:rFonts w:ascii="宋体" w:hAnsi="宋体" w:cs="宋体"/>
          <w:sz w:val="22"/>
        </w:rPr>
      </w:pPr>
      <w:r>
        <w:rPr>
          <w:rFonts w:hint="eastAsia" w:ascii="宋体" w:hAnsi="宋体" w:cs="宋体"/>
          <w:sz w:val="22"/>
        </w:rPr>
        <w:t>采购人根据采购项目的特殊要求规定投标人特定条件的，联合体各方中至少应当有一方符合采购人规定的特定条件。对于采购公告对投标人某一资格有要求的，按照联合体各方中最低资质等级确定联合体的资质等级；联合体各方的不同资质可优势互补。</w:t>
      </w:r>
    </w:p>
    <w:p>
      <w:pPr>
        <w:numPr>
          <w:ilvl w:val="2"/>
          <w:numId w:val="14"/>
        </w:numPr>
        <w:rPr>
          <w:rFonts w:ascii="宋体" w:hAnsi="宋体" w:cs="宋体"/>
          <w:sz w:val="22"/>
        </w:rPr>
      </w:pPr>
      <w:r>
        <w:rPr>
          <w:rFonts w:hint="eastAsia" w:ascii="宋体" w:hAnsi="宋体" w:cs="宋体"/>
          <w:sz w:val="22"/>
        </w:rPr>
        <w:t>投标人的投标文件及中标后签署的合同协议对联合体各方均具法律约束力；</w:t>
      </w:r>
    </w:p>
    <w:p>
      <w:pPr>
        <w:numPr>
          <w:ilvl w:val="2"/>
          <w:numId w:val="14"/>
        </w:numPr>
        <w:rPr>
          <w:rFonts w:ascii="宋体" w:hAnsi="宋体" w:cs="宋体"/>
          <w:sz w:val="22"/>
        </w:rPr>
      </w:pPr>
      <w:r>
        <w:rPr>
          <w:rFonts w:hint="eastAsia" w:ascii="宋体" w:hAnsi="宋体" w:cs="宋体"/>
          <w:sz w:val="22"/>
        </w:rPr>
        <w:t>联合体各方应当签订共同投标协议，明确约定各方拟承担的工作和责任，并将该共同投标协议随投标文件一并递交给政府采购代理机构；</w:t>
      </w:r>
    </w:p>
    <w:p>
      <w:pPr>
        <w:numPr>
          <w:ilvl w:val="2"/>
          <w:numId w:val="14"/>
        </w:numPr>
        <w:rPr>
          <w:rFonts w:ascii="宋体" w:hAnsi="宋体" w:cs="宋体"/>
          <w:sz w:val="22"/>
        </w:rPr>
      </w:pPr>
      <w:r>
        <w:rPr>
          <w:rFonts w:hint="eastAsia" w:ascii="宋体" w:hAnsi="宋体" w:cs="宋体"/>
          <w:sz w:val="22"/>
        </w:rPr>
        <w:t>联合体中标后，联合体各方应当共同与采购单位签订合同，就中标项目向采购单位承担连带责任；</w:t>
      </w:r>
    </w:p>
    <w:p>
      <w:pPr>
        <w:numPr>
          <w:ilvl w:val="2"/>
          <w:numId w:val="14"/>
        </w:numPr>
        <w:rPr>
          <w:rFonts w:ascii="宋体" w:hAnsi="宋体" w:cs="宋体"/>
          <w:sz w:val="22"/>
        </w:rPr>
      </w:pPr>
      <w:r>
        <w:rPr>
          <w:rFonts w:hint="eastAsia" w:ascii="宋体" w:hAnsi="宋体" w:cs="宋体"/>
          <w:sz w:val="22"/>
        </w:rPr>
        <w:t>联合体的各方应当共同推荐一联合体投标授权代表方，由联合体各方提交一份授权书，证明其有资格代表联合体各方签署投标文件，该授权书作为投标文件的组成部分一并提交给政府采购代理机构；</w:t>
      </w:r>
    </w:p>
    <w:p>
      <w:pPr>
        <w:numPr>
          <w:ilvl w:val="2"/>
          <w:numId w:val="14"/>
        </w:numPr>
        <w:rPr>
          <w:rFonts w:ascii="宋体" w:hAnsi="宋体" w:cs="宋体"/>
          <w:sz w:val="22"/>
        </w:rPr>
      </w:pPr>
      <w:r>
        <w:rPr>
          <w:rFonts w:hint="eastAsia" w:ascii="宋体" w:hAnsi="宋体" w:cs="宋体"/>
          <w:sz w:val="22"/>
        </w:rPr>
        <w:t>参加联合体的各方不得再以自己名义单独在同一项目中投标，不得组成新的联合体参加同一项目投标，也不得以分包商或其它形式参与同一项目投标，出现上述情况者，其投标和与此有关联合体、总包单位的投标将被拒绝；</w:t>
      </w:r>
    </w:p>
    <w:p>
      <w:pPr>
        <w:numPr>
          <w:ilvl w:val="2"/>
          <w:numId w:val="14"/>
        </w:numPr>
        <w:rPr>
          <w:rFonts w:ascii="宋体" w:hAnsi="宋体" w:cs="宋体"/>
          <w:sz w:val="22"/>
        </w:rPr>
      </w:pPr>
      <w:r>
        <w:rPr>
          <w:rFonts w:hint="eastAsia" w:ascii="宋体" w:hAnsi="宋体" w:cs="宋体"/>
          <w:sz w:val="22"/>
        </w:rPr>
        <w:t>除非另有规定或说明，本通用条款中“投标人”一词亦指联合体各方。</w:t>
      </w:r>
    </w:p>
    <w:p>
      <w:pPr>
        <w:ind w:left="907"/>
        <w:rPr>
          <w:rFonts w:ascii="宋体" w:hAnsi="宋体" w:cs="宋体"/>
          <w:sz w:val="22"/>
        </w:rPr>
      </w:pPr>
    </w:p>
    <w:p>
      <w:pPr>
        <w:numPr>
          <w:ilvl w:val="0"/>
          <w:numId w:val="12"/>
        </w:numPr>
        <w:rPr>
          <w:rFonts w:ascii="宋体" w:hAnsi="宋体" w:cs="宋体"/>
          <w:sz w:val="22"/>
        </w:rPr>
      </w:pPr>
      <w:r>
        <w:rPr>
          <w:rFonts w:hint="eastAsia" w:ascii="宋体" w:hAnsi="宋体" w:cs="宋体"/>
          <w:sz w:val="22"/>
        </w:rPr>
        <w:t>本项目若涉及采购货物，则合格的货物及相应服务应满足以下要求：</w:t>
      </w:r>
    </w:p>
    <w:p>
      <w:pPr>
        <w:numPr>
          <w:ilvl w:val="1"/>
          <w:numId w:val="13"/>
        </w:numPr>
        <w:rPr>
          <w:rFonts w:ascii="宋体" w:hAnsi="宋体" w:cs="宋体"/>
          <w:sz w:val="22"/>
        </w:rPr>
      </w:pPr>
      <w:r>
        <w:rPr>
          <w:rFonts w:hint="eastAsia" w:ascii="宋体" w:hAnsi="宋体" w:cs="宋体"/>
          <w:sz w:val="22"/>
        </w:rPr>
        <w:t>必须是全新、未使用过的原装合格正品（包括零部件），如安装或配置了软件的，须为正版软件。</w:t>
      </w:r>
    </w:p>
    <w:p>
      <w:pPr>
        <w:numPr>
          <w:ilvl w:val="1"/>
          <w:numId w:val="13"/>
        </w:numPr>
        <w:rPr>
          <w:rFonts w:ascii="宋体" w:hAnsi="宋体" w:cs="宋体"/>
          <w:sz w:val="22"/>
        </w:rPr>
      </w:pPr>
      <w:r>
        <w:rPr>
          <w:rFonts w:hint="eastAsia" w:ascii="宋体" w:hAnsi="宋体" w:cs="宋体"/>
          <w:sz w:val="22"/>
        </w:rPr>
        <w:t>国产的货物及其有关服务必须符合中华人民共和国的设计和制造生产标准或行业标准。采购公告有其他要求的，亦应符合其要求。</w:t>
      </w:r>
    </w:p>
    <w:p>
      <w:pPr>
        <w:numPr>
          <w:ilvl w:val="1"/>
          <w:numId w:val="13"/>
        </w:numPr>
        <w:rPr>
          <w:rFonts w:ascii="宋体" w:hAnsi="宋体" w:cs="宋体"/>
          <w:sz w:val="22"/>
        </w:rPr>
      </w:pPr>
      <w:r>
        <w:rPr>
          <w:rFonts w:hint="eastAsia" w:ascii="宋体" w:hAnsi="宋体" w:cs="宋体"/>
          <w:sz w:val="22"/>
        </w:rPr>
        <w:t>进口货物及其有关服务必须符合原产地和/或中华人民共和国的设计和制造生产标准或行业标准。进口的货物必须具有合法的进口手续和途径，并通过中华人民共和国商检部门检验。采购公告有其他要求的，亦应符合其要求。</w:t>
      </w:r>
    </w:p>
    <w:p>
      <w:pPr>
        <w:numPr>
          <w:ilvl w:val="1"/>
          <w:numId w:val="13"/>
        </w:numPr>
        <w:rPr>
          <w:rFonts w:ascii="宋体" w:hAnsi="宋体" w:cs="宋体"/>
          <w:sz w:val="22"/>
        </w:rPr>
      </w:pPr>
      <w:r>
        <w:rPr>
          <w:rFonts w:hint="eastAsia" w:ascii="宋体" w:hAnsi="宋体" w:cs="宋体"/>
          <w:sz w:val="22"/>
        </w:rPr>
        <w:t>投标人应保证，其所提供的货物在提供给采购单位前具有完全的所有权，采购单位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pPr>
        <w:numPr>
          <w:ilvl w:val="1"/>
          <w:numId w:val="13"/>
        </w:numPr>
        <w:rPr>
          <w:rFonts w:ascii="宋体" w:hAnsi="宋体" w:cs="宋体"/>
          <w:sz w:val="22"/>
        </w:rPr>
      </w:pPr>
      <w:r>
        <w:rPr>
          <w:rFonts w:hint="eastAsia" w:ascii="宋体" w:hAnsi="宋体" w:cs="宋体"/>
          <w:sz w:val="22"/>
        </w:rPr>
        <w:t>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pPr>
        <w:numPr>
          <w:ilvl w:val="1"/>
          <w:numId w:val="13"/>
        </w:numPr>
        <w:rPr>
          <w:rFonts w:ascii="宋体" w:hAnsi="宋体" w:cs="宋体"/>
          <w:sz w:val="22"/>
        </w:rPr>
      </w:pPr>
      <w:r>
        <w:rPr>
          <w:rFonts w:hint="eastAsia" w:ascii="宋体" w:hAnsi="宋体" w:cs="宋体"/>
          <w:sz w:val="22"/>
        </w:rPr>
        <w:t>对工期的要求：投标人在投标时对其所投项目应提交详细的《交货进度表》，列明交货计划等，在合同规定的时间内完工验收。</w:t>
      </w:r>
    </w:p>
    <w:p>
      <w:pPr>
        <w:numPr>
          <w:ilvl w:val="1"/>
          <w:numId w:val="13"/>
        </w:numPr>
        <w:rPr>
          <w:rFonts w:ascii="宋体" w:hAnsi="宋体" w:cs="宋体"/>
          <w:sz w:val="22"/>
        </w:rPr>
      </w:pPr>
      <w:r>
        <w:rPr>
          <w:rFonts w:hint="eastAsia" w:ascii="宋体" w:hAnsi="宋体" w:cs="宋体"/>
          <w:sz w:val="22"/>
        </w:rPr>
        <w:t>除非下文另有规定，产品有效期为：密封存放在阴凉、干燥、通风、温度为-5°Ｃ～４０°Ｃ的环境中，有效期八年。特殊要求的另行规定。</w:t>
      </w:r>
    </w:p>
    <w:p>
      <w:pPr>
        <w:numPr>
          <w:ilvl w:val="1"/>
          <w:numId w:val="13"/>
        </w:numPr>
        <w:rPr>
          <w:rFonts w:ascii="宋体" w:hAnsi="宋体" w:cs="宋体"/>
          <w:sz w:val="22"/>
        </w:rPr>
      </w:pPr>
      <w:r>
        <w:rPr>
          <w:rFonts w:hint="eastAsia" w:ascii="宋体" w:hAnsi="宋体" w:cs="宋体"/>
          <w:sz w:val="22"/>
        </w:rPr>
        <w:t>服务响应期：4小时以内到达采购单位现场。特殊要求的另行规定。</w:t>
      </w:r>
    </w:p>
    <w:p>
      <w:pPr>
        <w:numPr>
          <w:ilvl w:val="1"/>
          <w:numId w:val="13"/>
        </w:numPr>
        <w:rPr>
          <w:rFonts w:ascii="宋体" w:hAnsi="宋体" w:cs="宋体"/>
          <w:sz w:val="22"/>
        </w:rPr>
      </w:pPr>
      <w:r>
        <w:rPr>
          <w:rFonts w:hint="eastAsia" w:ascii="宋体" w:hAnsi="宋体" w:cs="宋体"/>
          <w:sz w:val="22"/>
        </w:rPr>
        <w:t>投标人必须承担的设备运输、安装调试、验收检测和提供设备操作说明书、图纸等其他相关及类似的义务。</w:t>
      </w:r>
    </w:p>
    <w:p>
      <w:pPr>
        <w:ind w:left="907"/>
        <w:rPr>
          <w:rFonts w:ascii="宋体" w:hAnsi="宋体" w:cs="宋体"/>
          <w:sz w:val="22"/>
        </w:rPr>
      </w:pPr>
    </w:p>
    <w:p>
      <w:pPr>
        <w:numPr>
          <w:ilvl w:val="0"/>
          <w:numId w:val="12"/>
        </w:numPr>
        <w:rPr>
          <w:rFonts w:ascii="宋体" w:hAnsi="宋体" w:cs="宋体"/>
          <w:sz w:val="22"/>
        </w:rPr>
      </w:pPr>
      <w:r>
        <w:rPr>
          <w:rFonts w:hint="eastAsia" w:ascii="宋体" w:hAnsi="宋体" w:cs="宋体"/>
          <w:sz w:val="22"/>
        </w:rPr>
        <w:t>投标费用</w:t>
      </w:r>
      <w:bookmarkEnd w:id="54"/>
      <w:bookmarkEnd w:id="55"/>
      <w:bookmarkEnd w:id="56"/>
      <w:bookmarkEnd w:id="57"/>
      <w:bookmarkEnd w:id="58"/>
      <w:bookmarkEnd w:id="59"/>
      <w:bookmarkEnd w:id="60"/>
    </w:p>
    <w:p>
      <w:pPr>
        <w:numPr>
          <w:ilvl w:val="1"/>
          <w:numId w:val="13"/>
        </w:numPr>
        <w:rPr>
          <w:rFonts w:ascii="宋体" w:hAnsi="宋体" w:cs="宋体"/>
          <w:sz w:val="22"/>
        </w:rPr>
      </w:pPr>
      <w:r>
        <w:rPr>
          <w:rFonts w:hint="eastAsia" w:ascii="宋体" w:hAnsi="宋体" w:cs="宋体"/>
          <w:sz w:val="22"/>
        </w:rPr>
        <w:t>不论投标结果如何，投标人应承担其编制投标文件与递交投标文件所涉及的一切费用。</w:t>
      </w:r>
    </w:p>
    <w:p>
      <w:pPr>
        <w:ind w:left="907"/>
        <w:rPr>
          <w:rFonts w:ascii="宋体" w:hAnsi="宋体" w:cs="宋体"/>
          <w:sz w:val="22"/>
        </w:rPr>
      </w:pPr>
    </w:p>
    <w:p>
      <w:pPr>
        <w:numPr>
          <w:ilvl w:val="0"/>
          <w:numId w:val="12"/>
        </w:numPr>
        <w:rPr>
          <w:rFonts w:ascii="宋体" w:hAnsi="宋体" w:cs="宋体"/>
          <w:sz w:val="22"/>
        </w:rPr>
      </w:pPr>
      <w:bookmarkStart w:id="61" w:name="_Toc73517646"/>
      <w:bookmarkStart w:id="62" w:name="_Toc73521642"/>
      <w:bookmarkStart w:id="63" w:name="_Toc73521554"/>
      <w:bookmarkStart w:id="64" w:name="_Toc100052371"/>
      <w:bookmarkStart w:id="65" w:name="_Toc73518124"/>
      <w:bookmarkStart w:id="66" w:name="_Toc60560632"/>
      <w:bookmarkStart w:id="67" w:name="_Toc60631627"/>
      <w:r>
        <w:rPr>
          <w:rFonts w:hint="eastAsia" w:ascii="宋体" w:hAnsi="宋体" w:cs="宋体"/>
          <w:sz w:val="22"/>
        </w:rPr>
        <w:t>踏勘现场</w:t>
      </w:r>
      <w:bookmarkEnd w:id="61"/>
      <w:bookmarkEnd w:id="62"/>
      <w:bookmarkEnd w:id="63"/>
      <w:bookmarkEnd w:id="64"/>
      <w:bookmarkEnd w:id="65"/>
      <w:bookmarkEnd w:id="66"/>
      <w:bookmarkEnd w:id="67"/>
    </w:p>
    <w:p>
      <w:pPr>
        <w:numPr>
          <w:ilvl w:val="1"/>
          <w:numId w:val="13"/>
        </w:numPr>
        <w:rPr>
          <w:rFonts w:ascii="宋体" w:hAnsi="宋体" w:cs="宋体"/>
          <w:sz w:val="22"/>
        </w:rPr>
      </w:pPr>
      <w:bookmarkStart w:id="68" w:name="_Toc78260681"/>
      <w:bookmarkStart w:id="69" w:name="_Toc100052372"/>
      <w:r>
        <w:rPr>
          <w:rFonts w:hint="eastAsia" w:ascii="宋体" w:hAnsi="宋体" w:cs="宋体"/>
          <w:sz w:val="22"/>
        </w:rPr>
        <w:t>如有需要，政府采购代理机构或采购单位将组织投标人对项目现场及周围环境进行踏勘，以便投标人获取有关编制投标文件和签署合同所需的所有资料。踏勘现场所发生的费用由投标人自己承担，投标人应按采购公告所约定的时间、地点统一踏勘现场。</w:t>
      </w:r>
    </w:p>
    <w:p>
      <w:pPr>
        <w:numPr>
          <w:ilvl w:val="1"/>
          <w:numId w:val="13"/>
        </w:numPr>
        <w:rPr>
          <w:rFonts w:ascii="宋体" w:hAnsi="宋体" w:cs="宋体"/>
          <w:sz w:val="22"/>
        </w:rPr>
      </w:pPr>
      <w:r>
        <w:rPr>
          <w:rFonts w:hint="eastAsia" w:ascii="宋体" w:hAnsi="宋体" w:cs="宋体"/>
          <w:sz w:val="22"/>
        </w:rPr>
        <w:t>投标人及其人员经过采购单位的允许，可以踏勘目的进入采购单位的项目现场。若本项目采购文件要求投标人于统一时间地点踏勘现场的，投标人应当按时前往。</w:t>
      </w:r>
    </w:p>
    <w:p>
      <w:pPr>
        <w:numPr>
          <w:ilvl w:val="1"/>
          <w:numId w:val="13"/>
        </w:numPr>
        <w:rPr>
          <w:rFonts w:ascii="宋体" w:hAnsi="宋体" w:cs="宋体"/>
          <w:sz w:val="22"/>
        </w:rPr>
      </w:pPr>
      <w:r>
        <w:rPr>
          <w:rFonts w:hint="eastAsia" w:ascii="宋体" w:hAnsi="宋体" w:cs="宋体"/>
          <w:sz w:val="22"/>
        </w:rPr>
        <w:t>采购单位必须通过政府采购代理机构向投标人提供有关现场的资料和数据。</w:t>
      </w:r>
    </w:p>
    <w:p>
      <w:pPr>
        <w:numPr>
          <w:ilvl w:val="1"/>
          <w:numId w:val="13"/>
        </w:numPr>
        <w:rPr>
          <w:rFonts w:ascii="宋体" w:hAnsi="宋体" w:cs="宋体"/>
          <w:sz w:val="22"/>
        </w:rPr>
      </w:pPr>
      <w:r>
        <w:rPr>
          <w:rFonts w:hint="eastAsia" w:ascii="宋体" w:hAnsi="宋体" w:cs="宋体"/>
          <w:sz w:val="22"/>
        </w:rPr>
        <w:t>任何人或任何组织在踏勘现场时向投标人提交的任何书面或口头上的资料，未经政府采购代理机构在网上发布或书面通知，均作无效处理。政府采购代理机构对投标人由此而做出的推论、理解和结论概不负责。</w:t>
      </w:r>
    </w:p>
    <w:p>
      <w:pPr>
        <w:numPr>
          <w:ilvl w:val="1"/>
          <w:numId w:val="13"/>
        </w:numPr>
        <w:rPr>
          <w:rFonts w:ascii="宋体" w:hAnsi="宋体" w:cs="宋体"/>
          <w:sz w:val="22"/>
        </w:rPr>
      </w:pPr>
      <w:r>
        <w:rPr>
          <w:rFonts w:hint="eastAsia" w:ascii="宋体" w:hAnsi="宋体" w:cs="宋体"/>
          <w:sz w:val="22"/>
        </w:rPr>
        <w:t>未参与现场踏勘不作为否定投标人资格的理由。</w:t>
      </w:r>
    </w:p>
    <w:p>
      <w:pPr>
        <w:ind w:left="907"/>
        <w:rPr>
          <w:rFonts w:ascii="宋体" w:hAnsi="宋体" w:cs="宋体"/>
          <w:sz w:val="22"/>
        </w:rPr>
      </w:pPr>
    </w:p>
    <w:p>
      <w:pPr>
        <w:numPr>
          <w:ilvl w:val="0"/>
          <w:numId w:val="12"/>
        </w:numPr>
        <w:rPr>
          <w:rFonts w:ascii="宋体" w:hAnsi="宋体" w:cs="宋体"/>
          <w:sz w:val="22"/>
        </w:rPr>
      </w:pPr>
      <w:r>
        <w:rPr>
          <w:rFonts w:hint="eastAsia" w:ascii="宋体" w:hAnsi="宋体" w:cs="宋体"/>
          <w:sz w:val="22"/>
        </w:rPr>
        <w:t>招标</w:t>
      </w:r>
      <w:bookmarkEnd w:id="68"/>
      <w:r>
        <w:rPr>
          <w:rFonts w:hint="eastAsia" w:ascii="宋体" w:hAnsi="宋体" w:cs="宋体"/>
          <w:sz w:val="22"/>
        </w:rPr>
        <w:t>答疑</w:t>
      </w:r>
      <w:bookmarkEnd w:id="69"/>
    </w:p>
    <w:p>
      <w:pPr>
        <w:numPr>
          <w:ilvl w:val="1"/>
          <w:numId w:val="13"/>
        </w:numPr>
        <w:rPr>
          <w:rFonts w:ascii="宋体" w:hAnsi="宋体" w:cs="宋体"/>
          <w:sz w:val="22"/>
        </w:rPr>
      </w:pPr>
      <w:r>
        <w:rPr>
          <w:rFonts w:hint="eastAsia" w:ascii="宋体" w:hAnsi="宋体" w:cs="宋体"/>
          <w:sz w:val="22"/>
        </w:rPr>
        <w:t>招标答疑的目的是澄清、解答投标人在查阅采购文件后或现场踏勘中可能提出的与投标有关的疑问或询问。</w:t>
      </w:r>
    </w:p>
    <w:p>
      <w:pPr>
        <w:numPr>
          <w:ilvl w:val="1"/>
          <w:numId w:val="13"/>
        </w:numPr>
        <w:rPr>
          <w:rFonts w:ascii="宋体" w:hAnsi="宋体" w:cs="宋体"/>
          <w:sz w:val="22"/>
        </w:rPr>
      </w:pPr>
      <w:r>
        <w:rPr>
          <w:rFonts w:hint="eastAsia" w:ascii="宋体" w:hAnsi="宋体" w:cs="宋体"/>
          <w:sz w:val="22"/>
        </w:rPr>
        <w:t>投标人提出的与投标有关的问题须在采购文件规定的答疑截止时间前以网上提问形式提交给政府采购代理机构。</w:t>
      </w:r>
    </w:p>
    <w:p>
      <w:pPr>
        <w:numPr>
          <w:ilvl w:val="1"/>
          <w:numId w:val="13"/>
        </w:numPr>
        <w:rPr>
          <w:rFonts w:ascii="宋体" w:hAnsi="宋体" w:cs="宋体"/>
          <w:sz w:val="22"/>
        </w:rPr>
      </w:pPr>
      <w:r>
        <w:rPr>
          <w:rFonts w:hint="eastAsia" w:ascii="宋体" w:hAnsi="宋体" w:cs="宋体"/>
          <w:sz w:val="22"/>
        </w:rPr>
        <w:t>政府采购代理机构对疑问所做出的澄清和解答，以书面答复（包括网站发布信息）为准。答疑纪要的有效性规定按照本通用条款第13.3、13.4款规定执行。</w:t>
      </w:r>
    </w:p>
    <w:p>
      <w:pPr>
        <w:numPr>
          <w:ilvl w:val="1"/>
          <w:numId w:val="13"/>
        </w:numPr>
        <w:rPr>
          <w:rFonts w:ascii="宋体" w:hAnsi="宋体" w:cs="宋体"/>
          <w:sz w:val="22"/>
        </w:rPr>
      </w:pPr>
      <w:r>
        <w:rPr>
          <w:rFonts w:hint="eastAsia" w:ascii="宋体" w:hAnsi="宋体" w:cs="宋体"/>
          <w:sz w:val="22"/>
        </w:rPr>
        <w:t>如政府采购代理机构认为有必要组织现场答疑会，投标人应按照采购文件规定的时间或政府采购代理机构另行书面通知（包括网站发布的通知）的时间和地点，参与现场答疑会。</w:t>
      </w:r>
    </w:p>
    <w:p>
      <w:pPr>
        <w:numPr>
          <w:ilvl w:val="1"/>
          <w:numId w:val="13"/>
        </w:numPr>
        <w:rPr>
          <w:rFonts w:ascii="宋体" w:hAnsi="宋体" w:cs="宋体"/>
          <w:sz w:val="22"/>
        </w:rPr>
      </w:pPr>
      <w:r>
        <w:rPr>
          <w:rFonts w:hint="eastAsia" w:ascii="宋体" w:hAnsi="宋体" w:cs="宋体"/>
          <w:sz w:val="22"/>
        </w:rPr>
        <w:t>未参与招标答疑不作为否定投标人资格的理由。</w:t>
      </w:r>
    </w:p>
    <w:p>
      <w:r>
        <w:br w:type="page"/>
      </w:r>
      <w:bookmarkStart w:id="70" w:name="bt招标文件"/>
      <w:bookmarkEnd w:id="70"/>
      <w:bookmarkStart w:id="71" w:name="_Toc101074878"/>
      <w:bookmarkStart w:id="72" w:name="_Toc73521644"/>
      <w:bookmarkStart w:id="73" w:name="_Toc73521556"/>
      <w:bookmarkStart w:id="74" w:name="_Toc73518126"/>
      <w:bookmarkStart w:id="75" w:name="_Toc73517648"/>
      <w:bookmarkStart w:id="76" w:name="_Toc100052373"/>
    </w:p>
    <w:p/>
    <w:p/>
    <w:p/>
    <w:p/>
    <w:p/>
    <w:p/>
    <w:p/>
    <w:p/>
    <w:p/>
    <w:p/>
    <w:p/>
    <w:p/>
    <w:p/>
    <w:p/>
    <w:p/>
    <w:p>
      <w:pPr>
        <w:jc w:val="center"/>
        <w:rPr>
          <w:szCs w:val="28"/>
        </w:rPr>
      </w:pPr>
      <w:r>
        <w:rPr>
          <w:b/>
          <w:bCs/>
          <w:kern w:val="28"/>
          <w:sz w:val="44"/>
          <w:szCs w:val="44"/>
        </w:rPr>
        <w:t>第二章  采购文件</w:t>
      </w:r>
      <w:r>
        <w:rPr>
          <w:b/>
          <w:bCs/>
          <w:kern w:val="28"/>
          <w:sz w:val="44"/>
          <w:szCs w:val="44"/>
        </w:rPr>
        <w:br w:type="page"/>
      </w:r>
      <w:bookmarkEnd w:id="71"/>
      <w:bookmarkEnd w:id="72"/>
      <w:bookmarkEnd w:id="73"/>
      <w:bookmarkEnd w:id="74"/>
      <w:bookmarkEnd w:id="75"/>
      <w:bookmarkEnd w:id="76"/>
    </w:p>
    <w:p/>
    <w:p>
      <w:pPr>
        <w:numPr>
          <w:ilvl w:val="0"/>
          <w:numId w:val="12"/>
        </w:numPr>
        <w:rPr>
          <w:rFonts w:ascii="宋体" w:hAnsi="宋体" w:cs="宋体"/>
          <w:sz w:val="22"/>
        </w:rPr>
      </w:pPr>
      <w:bookmarkStart w:id="77" w:name="_Toc100052374"/>
      <w:bookmarkStart w:id="78" w:name="_Toc73521645"/>
      <w:bookmarkStart w:id="79" w:name="_Toc73517649"/>
      <w:bookmarkStart w:id="80" w:name="_Toc73518127"/>
      <w:bookmarkStart w:id="81" w:name="_Toc73521557"/>
      <w:r>
        <w:rPr>
          <w:rFonts w:hint="eastAsia" w:ascii="宋体" w:hAnsi="宋体" w:cs="宋体"/>
          <w:sz w:val="22"/>
        </w:rPr>
        <w:t>采购文件的编制与组成</w:t>
      </w:r>
      <w:bookmarkEnd w:id="77"/>
      <w:bookmarkEnd w:id="78"/>
      <w:bookmarkEnd w:id="79"/>
      <w:bookmarkEnd w:id="80"/>
      <w:bookmarkEnd w:id="81"/>
    </w:p>
    <w:p>
      <w:pPr>
        <w:numPr>
          <w:ilvl w:val="1"/>
          <w:numId w:val="13"/>
        </w:numPr>
        <w:rPr>
          <w:rFonts w:ascii="宋体" w:hAnsi="宋体" w:cs="宋体"/>
          <w:sz w:val="22"/>
        </w:rPr>
      </w:pPr>
      <w:r>
        <w:rPr>
          <w:rFonts w:hint="eastAsia" w:ascii="宋体" w:hAnsi="宋体" w:cs="宋体"/>
          <w:sz w:val="22"/>
        </w:rPr>
        <w:t>采购文件除以下内容外，政府采购代理机构在招标（或谈判）期间发出的答疑纪要和其他补充修改函件，均是采购文件的组成部分，对投标人起约束作用；</w:t>
      </w:r>
    </w:p>
    <w:p>
      <w:pPr>
        <w:ind w:left="907"/>
        <w:rPr>
          <w:rFonts w:ascii="宋体" w:hAnsi="宋体" w:cs="宋体"/>
          <w:sz w:val="22"/>
        </w:rPr>
      </w:pPr>
      <w:r>
        <w:rPr>
          <w:rFonts w:hint="eastAsia" w:ascii="宋体" w:hAnsi="宋体" w:cs="宋体"/>
          <w:sz w:val="22"/>
        </w:rPr>
        <w:t>采购文件包括下列内容：</w:t>
      </w:r>
    </w:p>
    <w:p>
      <w:pPr>
        <w:ind w:left="907"/>
        <w:rPr>
          <w:rFonts w:ascii="宋体" w:hAnsi="宋体" w:cs="宋体"/>
          <w:b/>
          <w:sz w:val="22"/>
        </w:rPr>
      </w:pPr>
      <w:r>
        <w:rPr>
          <w:rFonts w:hint="eastAsia" w:ascii="宋体" w:hAnsi="宋体" w:cs="宋体"/>
          <w:b/>
          <w:sz w:val="22"/>
        </w:rPr>
        <w:t>第一册  专用条款</w:t>
      </w:r>
    </w:p>
    <w:p>
      <w:pPr>
        <w:ind w:left="907"/>
        <w:rPr>
          <w:rFonts w:ascii="宋体" w:hAnsi="宋体" w:cs="宋体"/>
          <w:b/>
          <w:sz w:val="22"/>
        </w:rPr>
      </w:pPr>
      <w:r>
        <w:rPr>
          <w:rFonts w:hint="eastAsia" w:ascii="宋体" w:hAnsi="宋体" w:cs="宋体"/>
          <w:b/>
          <w:sz w:val="22"/>
        </w:rPr>
        <w:t>关键信息</w:t>
      </w:r>
    </w:p>
    <w:p>
      <w:pPr>
        <w:ind w:left="907"/>
        <w:rPr>
          <w:rFonts w:ascii="宋体" w:hAnsi="宋体" w:cs="宋体"/>
          <w:sz w:val="22"/>
        </w:rPr>
      </w:pPr>
      <w:r>
        <w:rPr>
          <w:rFonts w:hint="eastAsia" w:ascii="宋体" w:hAnsi="宋体" w:cs="宋体"/>
          <w:sz w:val="22"/>
        </w:rPr>
        <w:t>第一章  招标公告</w:t>
      </w:r>
    </w:p>
    <w:p>
      <w:pPr>
        <w:ind w:left="907"/>
        <w:rPr>
          <w:rFonts w:ascii="宋体" w:hAnsi="宋体" w:cs="宋体"/>
          <w:sz w:val="22"/>
        </w:rPr>
      </w:pPr>
      <w:r>
        <w:rPr>
          <w:rFonts w:hint="eastAsia" w:ascii="宋体" w:hAnsi="宋体" w:cs="宋体"/>
          <w:sz w:val="22"/>
        </w:rPr>
        <w:t>第二章  招标项目需求</w:t>
      </w:r>
    </w:p>
    <w:p>
      <w:pPr>
        <w:ind w:left="907"/>
        <w:rPr>
          <w:rFonts w:ascii="宋体" w:hAnsi="宋体" w:cs="宋体"/>
          <w:sz w:val="22"/>
        </w:rPr>
      </w:pPr>
      <w:r>
        <w:rPr>
          <w:rFonts w:hint="eastAsia" w:ascii="宋体" w:hAnsi="宋体" w:cs="宋体"/>
          <w:sz w:val="22"/>
        </w:rPr>
        <w:t>第三章  合同条款及格式</w:t>
      </w:r>
    </w:p>
    <w:p>
      <w:pPr>
        <w:ind w:left="907"/>
        <w:rPr>
          <w:rFonts w:ascii="宋体" w:hAnsi="宋体" w:cs="宋体"/>
          <w:sz w:val="22"/>
        </w:rPr>
      </w:pPr>
      <w:r>
        <w:rPr>
          <w:rFonts w:hint="eastAsia" w:ascii="宋体" w:hAnsi="宋体" w:cs="宋体"/>
          <w:sz w:val="22"/>
        </w:rPr>
        <w:t>第四章  投标文件格式、附件</w:t>
      </w:r>
    </w:p>
    <w:p>
      <w:pPr>
        <w:ind w:left="907"/>
        <w:rPr>
          <w:rFonts w:ascii="宋体" w:hAnsi="宋体" w:cs="宋体"/>
          <w:sz w:val="22"/>
        </w:rPr>
      </w:pPr>
      <w:r>
        <w:rPr>
          <w:rFonts w:hint="eastAsia" w:ascii="宋体" w:hAnsi="宋体" w:cs="宋体"/>
          <w:sz w:val="22"/>
        </w:rPr>
        <w:t>第五章  政府采购履约情况反馈表</w:t>
      </w:r>
    </w:p>
    <w:p>
      <w:pPr>
        <w:ind w:left="907"/>
        <w:rPr>
          <w:rFonts w:ascii="宋体" w:hAnsi="宋体" w:cs="宋体"/>
          <w:b/>
          <w:sz w:val="22"/>
        </w:rPr>
      </w:pPr>
      <w:r>
        <w:rPr>
          <w:rFonts w:hint="eastAsia" w:ascii="宋体" w:hAnsi="宋体" w:cs="宋体"/>
          <w:b/>
          <w:sz w:val="22"/>
        </w:rPr>
        <w:t>第二册  通用条款</w:t>
      </w:r>
    </w:p>
    <w:p>
      <w:pPr>
        <w:ind w:left="907"/>
        <w:rPr>
          <w:rFonts w:ascii="宋体" w:hAnsi="宋体" w:cs="宋体"/>
          <w:sz w:val="22"/>
        </w:rPr>
      </w:pPr>
      <w:r>
        <w:rPr>
          <w:rFonts w:hint="eastAsia" w:ascii="宋体" w:hAnsi="宋体" w:cs="宋体"/>
          <w:sz w:val="22"/>
        </w:rPr>
        <w:t>第一章  总则</w:t>
      </w:r>
    </w:p>
    <w:p>
      <w:pPr>
        <w:ind w:left="907"/>
        <w:rPr>
          <w:rFonts w:ascii="宋体" w:hAnsi="宋体" w:cs="宋体"/>
          <w:sz w:val="22"/>
        </w:rPr>
      </w:pPr>
      <w:r>
        <w:rPr>
          <w:rFonts w:hint="eastAsia" w:ascii="宋体" w:hAnsi="宋体" w:cs="宋体"/>
          <w:sz w:val="22"/>
        </w:rPr>
        <w:t>第二章  采购文件</w:t>
      </w:r>
    </w:p>
    <w:p>
      <w:pPr>
        <w:ind w:left="907"/>
        <w:rPr>
          <w:rFonts w:ascii="宋体" w:hAnsi="宋体" w:cs="宋体"/>
          <w:sz w:val="22"/>
        </w:rPr>
      </w:pPr>
      <w:r>
        <w:rPr>
          <w:rFonts w:hint="eastAsia" w:ascii="宋体" w:hAnsi="宋体" w:cs="宋体"/>
          <w:sz w:val="22"/>
        </w:rPr>
        <w:t>第三章  投标文件的编制</w:t>
      </w:r>
    </w:p>
    <w:p>
      <w:pPr>
        <w:ind w:left="907"/>
        <w:rPr>
          <w:rFonts w:ascii="宋体" w:hAnsi="宋体" w:cs="宋体"/>
          <w:sz w:val="22"/>
        </w:rPr>
      </w:pPr>
      <w:r>
        <w:rPr>
          <w:rFonts w:hint="eastAsia" w:ascii="宋体" w:hAnsi="宋体" w:cs="宋体"/>
          <w:sz w:val="22"/>
        </w:rPr>
        <w:t>第四章  投标文件的递交</w:t>
      </w:r>
    </w:p>
    <w:p>
      <w:pPr>
        <w:ind w:left="907"/>
        <w:rPr>
          <w:rFonts w:ascii="宋体" w:hAnsi="宋体" w:cs="宋体"/>
          <w:sz w:val="22"/>
        </w:rPr>
      </w:pPr>
      <w:r>
        <w:rPr>
          <w:rFonts w:hint="eastAsia" w:ascii="宋体" w:hAnsi="宋体" w:cs="宋体"/>
          <w:sz w:val="22"/>
        </w:rPr>
        <w:t>第五章  开标</w:t>
      </w:r>
    </w:p>
    <w:p>
      <w:pPr>
        <w:ind w:left="907"/>
        <w:rPr>
          <w:rFonts w:ascii="宋体" w:hAnsi="宋体" w:cs="宋体"/>
          <w:sz w:val="22"/>
        </w:rPr>
      </w:pPr>
      <w:r>
        <w:rPr>
          <w:rFonts w:hint="eastAsia" w:ascii="宋体" w:hAnsi="宋体" w:cs="宋体"/>
          <w:sz w:val="22"/>
        </w:rPr>
        <w:t>第六章  评标要求</w:t>
      </w:r>
    </w:p>
    <w:p>
      <w:pPr>
        <w:ind w:left="907"/>
        <w:rPr>
          <w:rFonts w:ascii="宋体" w:hAnsi="宋体" w:cs="宋体"/>
          <w:sz w:val="22"/>
        </w:rPr>
      </w:pPr>
      <w:r>
        <w:rPr>
          <w:rFonts w:hint="eastAsia" w:ascii="宋体" w:hAnsi="宋体" w:cs="宋体"/>
          <w:sz w:val="22"/>
        </w:rPr>
        <w:t>第七章  评标程序及评标方法</w:t>
      </w:r>
    </w:p>
    <w:p>
      <w:pPr>
        <w:ind w:left="907"/>
        <w:rPr>
          <w:rFonts w:ascii="宋体" w:hAnsi="宋体" w:cs="宋体"/>
          <w:sz w:val="22"/>
        </w:rPr>
      </w:pPr>
      <w:r>
        <w:rPr>
          <w:rFonts w:hint="eastAsia" w:ascii="宋体" w:hAnsi="宋体" w:cs="宋体"/>
          <w:sz w:val="22"/>
        </w:rPr>
        <w:t>第八章  定标及公示</w:t>
      </w:r>
    </w:p>
    <w:p>
      <w:pPr>
        <w:ind w:left="907"/>
        <w:rPr>
          <w:rFonts w:ascii="宋体" w:hAnsi="宋体" w:cs="宋体"/>
          <w:sz w:val="22"/>
        </w:rPr>
      </w:pPr>
      <w:r>
        <w:rPr>
          <w:rFonts w:hint="eastAsia" w:ascii="宋体" w:hAnsi="宋体" w:cs="宋体"/>
          <w:sz w:val="22"/>
        </w:rPr>
        <w:t>第九章  公开招标失败的后续处理</w:t>
      </w:r>
    </w:p>
    <w:p>
      <w:pPr>
        <w:ind w:left="907"/>
        <w:rPr>
          <w:rFonts w:ascii="宋体" w:hAnsi="宋体" w:cs="宋体"/>
          <w:sz w:val="22"/>
        </w:rPr>
      </w:pPr>
      <w:r>
        <w:rPr>
          <w:rFonts w:hint="eastAsia" w:ascii="宋体" w:hAnsi="宋体" w:cs="宋体"/>
          <w:sz w:val="22"/>
        </w:rPr>
        <w:t>第十章  合同的授予与备案</w:t>
      </w:r>
    </w:p>
    <w:p>
      <w:pPr>
        <w:pStyle w:val="43"/>
        <w:ind w:firstLine="440"/>
        <w:rPr>
          <w:rFonts w:ascii="宋体" w:hAnsi="宋体" w:cs="宋体"/>
          <w:sz w:val="22"/>
          <w:szCs w:val="22"/>
        </w:rPr>
      </w:pPr>
      <w:r>
        <w:rPr>
          <w:rFonts w:hint="eastAsia" w:ascii="宋体" w:hAnsi="宋体" w:cs="宋体"/>
          <w:sz w:val="22"/>
          <w:szCs w:val="22"/>
        </w:rPr>
        <w:t>第十一章  质疑处理</w:t>
      </w:r>
    </w:p>
    <w:p>
      <w:pPr>
        <w:pStyle w:val="43"/>
        <w:ind w:firstLine="442"/>
        <w:rPr>
          <w:rFonts w:ascii="宋体" w:hAnsi="宋体" w:cs="宋体"/>
          <w:b/>
          <w:bCs/>
          <w:sz w:val="22"/>
          <w:szCs w:val="22"/>
        </w:rPr>
      </w:pPr>
      <w:r>
        <w:rPr>
          <w:rFonts w:hint="eastAsia" w:ascii="宋体" w:hAnsi="宋体" w:cs="宋体"/>
          <w:b/>
          <w:bCs/>
          <w:sz w:val="22"/>
          <w:szCs w:val="22"/>
        </w:rPr>
        <w:t>第三册   附件</w:t>
      </w:r>
    </w:p>
    <w:p>
      <w:pPr>
        <w:pStyle w:val="43"/>
        <w:ind w:firstLine="440"/>
        <w:rPr>
          <w:rFonts w:ascii="宋体" w:hAnsi="宋体" w:cs="宋体"/>
          <w:sz w:val="22"/>
          <w:szCs w:val="22"/>
        </w:rPr>
      </w:pPr>
      <w:r>
        <w:rPr>
          <w:rFonts w:hint="eastAsia" w:ascii="宋体" w:hAnsi="宋体" w:cs="宋体"/>
          <w:sz w:val="22"/>
          <w:szCs w:val="22"/>
        </w:rPr>
        <w:t>一、财政部 工业和信息化部关于印发《政府采购促进中小企业发展管理办法》的通知</w:t>
      </w:r>
    </w:p>
    <w:p>
      <w:pPr>
        <w:pStyle w:val="43"/>
        <w:ind w:firstLine="440"/>
        <w:rPr>
          <w:rFonts w:ascii="宋体" w:hAnsi="宋体" w:cs="宋体"/>
          <w:sz w:val="22"/>
          <w:szCs w:val="22"/>
        </w:rPr>
      </w:pPr>
      <w:r>
        <w:rPr>
          <w:rFonts w:hint="eastAsia" w:ascii="宋体" w:hAnsi="宋体" w:cs="宋体"/>
          <w:sz w:val="22"/>
          <w:szCs w:val="22"/>
        </w:rPr>
        <w:t>二、关于印发中小企业划型标准规定的通知</w:t>
      </w:r>
    </w:p>
    <w:p>
      <w:pPr>
        <w:pStyle w:val="43"/>
        <w:ind w:firstLine="440"/>
        <w:rPr>
          <w:rFonts w:ascii="宋体" w:hAnsi="宋体" w:cs="宋体"/>
          <w:sz w:val="22"/>
          <w:szCs w:val="22"/>
        </w:rPr>
      </w:pPr>
      <w:r>
        <w:rPr>
          <w:rFonts w:hint="eastAsia" w:ascii="宋体" w:hAnsi="宋体" w:cs="宋体"/>
          <w:sz w:val="22"/>
          <w:szCs w:val="22"/>
        </w:rPr>
        <w:t>三、国家统计局关于印发《统计上大中小微型企业划分办法 （2017）》的通知</w:t>
      </w:r>
    </w:p>
    <w:p>
      <w:pPr>
        <w:pStyle w:val="43"/>
        <w:ind w:firstLine="440"/>
      </w:pPr>
      <w:r>
        <w:rPr>
          <w:rFonts w:hint="eastAsia" w:ascii="宋体" w:hAnsi="宋体" w:cs="宋体"/>
          <w:sz w:val="22"/>
          <w:szCs w:val="22"/>
        </w:rPr>
        <w:t>四、财政部 民政部 中国残疾人联合会关于促进残疾人就业 政府采购政策的通知</w:t>
      </w:r>
    </w:p>
    <w:p>
      <w:pPr>
        <w:ind w:left="907"/>
        <w:rPr>
          <w:rFonts w:ascii="宋体" w:hAnsi="宋体" w:cs="宋体"/>
          <w:sz w:val="22"/>
        </w:rPr>
      </w:pPr>
    </w:p>
    <w:p>
      <w:pPr>
        <w:numPr>
          <w:ilvl w:val="1"/>
          <w:numId w:val="13"/>
        </w:numPr>
        <w:rPr>
          <w:rFonts w:ascii="宋体" w:hAnsi="宋体" w:cs="宋体"/>
          <w:sz w:val="22"/>
        </w:rPr>
      </w:pPr>
      <w:bookmarkStart w:id="82" w:name="_Toc73517650"/>
      <w:bookmarkStart w:id="83" w:name="_Toc60560636"/>
      <w:bookmarkStart w:id="84" w:name="_Toc60631631"/>
      <w:bookmarkStart w:id="85" w:name="_Toc73518128"/>
      <w:bookmarkStart w:id="86" w:name="_Toc73521558"/>
      <w:bookmarkStart w:id="87" w:name="_Toc73521646"/>
      <w:bookmarkStart w:id="88" w:name="_Toc100052375"/>
      <w:bookmarkStart w:id="89" w:name="_Toc60560637"/>
      <w:bookmarkStart w:id="90" w:name="_Toc73521647"/>
      <w:bookmarkStart w:id="91" w:name="_Toc73518129"/>
      <w:bookmarkStart w:id="92" w:name="_Toc73521559"/>
      <w:bookmarkStart w:id="93" w:name="_Toc73517651"/>
      <w:bookmarkStart w:id="94" w:name="_Toc60631632"/>
      <w:bookmarkStart w:id="95" w:name="_Toc100052376"/>
      <w:r>
        <w:rPr>
          <w:rFonts w:hint="eastAsia" w:ascii="宋体" w:hAnsi="宋体" w:cs="宋体"/>
          <w:sz w:val="22"/>
        </w:rPr>
        <w:t>投标人收到采购文件后，应仔细检查采购文件的所有内容，如有残缺应在答疑截止时间之前向政府采购代理机构提出，否则，由此引起的投标损失自负；投标人同时应认真审阅采购文件所有的事项、格式、条款和规范要求等，如果投标人的投标文件没有按采购文件要求提交全部资料或者投标文件没有对采购文件做出实质性响应，其风险应由投标人自行承担，并根据有关条款规定，其投标有可能被拒绝。</w:t>
      </w:r>
    </w:p>
    <w:p>
      <w:pPr>
        <w:numPr>
          <w:ilvl w:val="1"/>
          <w:numId w:val="13"/>
        </w:numPr>
        <w:rPr>
          <w:rFonts w:ascii="宋体" w:hAnsi="宋体" w:cs="宋体"/>
          <w:sz w:val="22"/>
        </w:rPr>
      </w:pPr>
      <w:r>
        <w:rPr>
          <w:rFonts w:hint="eastAsia" w:ascii="宋体" w:hAnsi="宋体" w:cs="宋体"/>
          <w:sz w:val="22"/>
        </w:rPr>
        <w:t>任何人或任何组织向投标人提交的任何书面或口头资料，未经政府采购代理机构在网上发布或书面通知，均作无效处理，不得作为采购文件的组成部分。政府采购代理机构对投标人由此而做出的推论、理解和结论概不负责。</w:t>
      </w:r>
    </w:p>
    <w:p>
      <w:pPr>
        <w:ind w:left="907"/>
        <w:rPr>
          <w:rFonts w:ascii="宋体" w:hAnsi="宋体" w:cs="宋体"/>
          <w:sz w:val="22"/>
        </w:rPr>
      </w:pPr>
    </w:p>
    <w:p>
      <w:pPr>
        <w:numPr>
          <w:ilvl w:val="0"/>
          <w:numId w:val="12"/>
        </w:numPr>
        <w:rPr>
          <w:rFonts w:ascii="宋体" w:hAnsi="宋体" w:cs="宋体"/>
          <w:sz w:val="22"/>
        </w:rPr>
      </w:pPr>
      <w:r>
        <w:rPr>
          <w:rFonts w:hint="eastAsia" w:ascii="宋体" w:hAnsi="宋体" w:cs="宋体"/>
          <w:sz w:val="22"/>
        </w:rPr>
        <w:t>采购文件的澄清</w:t>
      </w:r>
      <w:bookmarkEnd w:id="82"/>
      <w:bookmarkEnd w:id="83"/>
      <w:bookmarkEnd w:id="84"/>
      <w:bookmarkEnd w:id="85"/>
      <w:bookmarkEnd w:id="86"/>
      <w:bookmarkEnd w:id="87"/>
      <w:bookmarkEnd w:id="88"/>
    </w:p>
    <w:p>
      <w:pPr>
        <w:numPr>
          <w:ilvl w:val="1"/>
          <w:numId w:val="13"/>
        </w:numPr>
        <w:rPr>
          <w:rFonts w:ascii="宋体" w:hAnsi="宋体" w:cs="宋体"/>
          <w:sz w:val="22"/>
        </w:rPr>
      </w:pPr>
      <w:r>
        <w:rPr>
          <w:rFonts w:hint="eastAsia" w:ascii="宋体" w:hAnsi="宋体" w:cs="宋体"/>
          <w:sz w:val="22"/>
        </w:rPr>
        <w:t>任何要求对采购文件进行澄清的潜在投标人，均应以书面形式通知采购代理机构和采购人。采购代理机构对其在投标截止期五日以前收到的对招标文件的澄清要求均以书面形式予以答复，同时将书面答复以13.2所述方式发给每个购买招标文件的潜在投标人(答复中不包括问题的来源)。</w:t>
      </w:r>
    </w:p>
    <w:p>
      <w:pPr>
        <w:numPr>
          <w:ilvl w:val="1"/>
          <w:numId w:val="13"/>
        </w:numPr>
        <w:rPr>
          <w:rFonts w:ascii="宋体" w:hAnsi="宋体" w:cs="宋体"/>
          <w:sz w:val="22"/>
        </w:rPr>
      </w:pPr>
      <w:r>
        <w:rPr>
          <w:rFonts w:hint="eastAsia" w:ascii="宋体" w:hAnsi="宋体" w:cs="宋体"/>
          <w:sz w:val="22"/>
        </w:rPr>
        <w:t>对于没有提出澄清又参与了该项目投标的供应商将被视为完全认同该采购文件（含澄清纪要），投标截止期后不再受理针对采购文件的相关质疑或投诉。</w:t>
      </w:r>
    </w:p>
    <w:p>
      <w:pPr>
        <w:numPr>
          <w:ilvl w:val="1"/>
          <w:numId w:val="13"/>
        </w:numPr>
        <w:rPr>
          <w:rFonts w:ascii="宋体" w:hAnsi="宋体" w:cs="宋体"/>
          <w:sz w:val="22"/>
        </w:rPr>
      </w:pPr>
      <w:r>
        <w:rPr>
          <w:rFonts w:hint="eastAsia" w:ascii="宋体" w:hAnsi="宋体" w:cs="宋体"/>
          <w:sz w:val="22"/>
        </w:rPr>
        <w:t>对采购文件中描述有歧意或前后不一致的地方，评审委员会有权进行评判，但对同一条款的评判应适用于每个投标人。</w:t>
      </w:r>
    </w:p>
    <w:p>
      <w:pPr>
        <w:ind w:left="907"/>
        <w:rPr>
          <w:rFonts w:ascii="宋体" w:hAnsi="宋体" w:cs="宋体"/>
          <w:sz w:val="22"/>
        </w:rPr>
      </w:pPr>
    </w:p>
    <w:p>
      <w:pPr>
        <w:numPr>
          <w:ilvl w:val="0"/>
          <w:numId w:val="12"/>
        </w:numPr>
        <w:rPr>
          <w:rFonts w:ascii="宋体" w:hAnsi="宋体" w:cs="宋体"/>
          <w:sz w:val="22"/>
        </w:rPr>
      </w:pPr>
      <w:r>
        <w:rPr>
          <w:rFonts w:hint="eastAsia" w:ascii="宋体" w:hAnsi="宋体" w:cs="宋体"/>
          <w:sz w:val="22"/>
        </w:rPr>
        <w:t>采购文件的修改</w:t>
      </w:r>
      <w:bookmarkEnd w:id="89"/>
      <w:bookmarkEnd w:id="90"/>
      <w:bookmarkEnd w:id="91"/>
      <w:bookmarkEnd w:id="92"/>
      <w:bookmarkEnd w:id="93"/>
      <w:bookmarkEnd w:id="94"/>
      <w:bookmarkEnd w:id="95"/>
    </w:p>
    <w:p>
      <w:pPr>
        <w:numPr>
          <w:ilvl w:val="1"/>
          <w:numId w:val="13"/>
        </w:numPr>
        <w:rPr>
          <w:rFonts w:ascii="宋体" w:hAnsi="宋体" w:cs="宋体"/>
          <w:sz w:val="22"/>
        </w:rPr>
      </w:pPr>
      <w:bookmarkStart w:id="96" w:name="bt投标文件"/>
      <w:bookmarkEnd w:id="96"/>
      <w:bookmarkStart w:id="97" w:name="_Toc73521648"/>
      <w:bookmarkStart w:id="98" w:name="_Toc73521560"/>
      <w:bookmarkStart w:id="99" w:name="_Toc73517652"/>
      <w:bookmarkStart w:id="100" w:name="_Toc100052377"/>
      <w:bookmarkStart w:id="101" w:name="_Toc101074879"/>
      <w:bookmarkStart w:id="102" w:name="_Toc73518130"/>
      <w:r>
        <w:rPr>
          <w:rFonts w:hint="eastAsia" w:ascii="宋体" w:hAnsi="宋体" w:cs="宋体"/>
          <w:sz w:val="22"/>
        </w:rPr>
        <w:t>采购代理机构和采购人可主动地或在解答潜在投标人提出的澄清问题时对采购文件进行修改。</w:t>
      </w:r>
    </w:p>
    <w:p>
      <w:pPr>
        <w:numPr>
          <w:ilvl w:val="1"/>
          <w:numId w:val="13"/>
        </w:numPr>
        <w:rPr>
          <w:rFonts w:ascii="宋体" w:hAnsi="宋体" w:cs="宋体"/>
          <w:sz w:val="22"/>
        </w:rPr>
      </w:pPr>
      <w:r>
        <w:rPr>
          <w:rFonts w:hint="eastAsia" w:ascii="宋体" w:hAnsi="宋体" w:cs="宋体"/>
          <w:sz w:val="22"/>
        </w:rPr>
        <w:t>采购文件的修改是采购文件的组成部分，采购文件的修改在深圳市东海国际招标有限公司官网(http：//www.szdhit.com)以网上公告形式发布，并对投标人具有约束力，招标期间，投标人有义务上网查看，公告一经上网发布，即视为送达。</w:t>
      </w:r>
    </w:p>
    <w:p>
      <w:pPr>
        <w:numPr>
          <w:ilvl w:val="1"/>
          <w:numId w:val="13"/>
        </w:numPr>
        <w:rPr>
          <w:rFonts w:ascii="宋体" w:hAnsi="宋体" w:cs="宋体"/>
          <w:sz w:val="22"/>
        </w:rPr>
      </w:pPr>
      <w:r>
        <w:rPr>
          <w:rFonts w:hint="eastAsia" w:ascii="宋体" w:hAnsi="宋体" w:cs="宋体"/>
          <w:sz w:val="22"/>
        </w:rPr>
        <w:t>为使投标人准备投标时有充分时间对采购文件的修改部分进行研究，采购代理机构和采购人可适当推迟投标截止期。</w:t>
      </w:r>
    </w:p>
    <w:p/>
    <w:p>
      <w:r>
        <w:br w:type="page"/>
      </w:r>
    </w:p>
    <w:p/>
    <w:p/>
    <w:p/>
    <w:p/>
    <w:p/>
    <w:p/>
    <w:p/>
    <w:p/>
    <w:p/>
    <w:p/>
    <w:p/>
    <w:p/>
    <w:p/>
    <w:p/>
    <w:p/>
    <w:p>
      <w:pPr>
        <w:pStyle w:val="5"/>
        <w:rPr>
          <w:szCs w:val="28"/>
        </w:rPr>
      </w:pPr>
      <w:r>
        <w:rPr>
          <w:b w:val="0"/>
          <w:bCs/>
          <w:kern w:val="28"/>
          <w:sz w:val="44"/>
          <w:szCs w:val="44"/>
        </w:rPr>
        <w:t>第三章  投标文件的编制</w:t>
      </w:r>
      <w:r>
        <w:rPr>
          <w:b w:val="0"/>
          <w:bCs/>
          <w:kern w:val="28"/>
          <w:sz w:val="44"/>
          <w:szCs w:val="44"/>
        </w:rPr>
        <w:br w:type="page"/>
      </w:r>
      <w:bookmarkEnd w:id="97"/>
      <w:bookmarkEnd w:id="98"/>
      <w:bookmarkEnd w:id="99"/>
      <w:bookmarkEnd w:id="100"/>
      <w:bookmarkEnd w:id="101"/>
      <w:bookmarkEnd w:id="102"/>
    </w:p>
    <w:p/>
    <w:p>
      <w:pPr>
        <w:numPr>
          <w:ilvl w:val="0"/>
          <w:numId w:val="12"/>
        </w:numPr>
        <w:rPr>
          <w:rFonts w:ascii="宋体" w:hAnsi="宋体" w:cs="宋体"/>
          <w:sz w:val="22"/>
        </w:rPr>
      </w:pPr>
      <w:bookmarkStart w:id="103" w:name="_Toc60560639"/>
      <w:bookmarkStart w:id="104" w:name="_Toc100052378"/>
      <w:bookmarkStart w:id="105" w:name="_Toc73518131"/>
      <w:bookmarkStart w:id="106" w:name="_Toc60631634"/>
      <w:bookmarkStart w:id="107" w:name="_Toc73521561"/>
      <w:bookmarkStart w:id="108" w:name="_Toc73521649"/>
      <w:bookmarkStart w:id="109" w:name="_Toc73517653"/>
      <w:r>
        <w:rPr>
          <w:rFonts w:hint="eastAsia" w:ascii="宋体" w:hAnsi="宋体" w:cs="宋体"/>
          <w:sz w:val="22"/>
        </w:rPr>
        <w:t>投标文件的语言及度量单位</w:t>
      </w:r>
      <w:bookmarkEnd w:id="103"/>
      <w:bookmarkEnd w:id="104"/>
      <w:bookmarkEnd w:id="105"/>
      <w:bookmarkEnd w:id="106"/>
      <w:bookmarkEnd w:id="107"/>
      <w:bookmarkEnd w:id="108"/>
      <w:bookmarkEnd w:id="109"/>
    </w:p>
    <w:p>
      <w:pPr>
        <w:numPr>
          <w:ilvl w:val="1"/>
          <w:numId w:val="13"/>
        </w:numPr>
        <w:rPr>
          <w:rFonts w:ascii="宋体" w:hAnsi="宋体" w:cs="宋体"/>
          <w:sz w:val="22"/>
        </w:rPr>
      </w:pPr>
      <w:r>
        <w:rPr>
          <w:rFonts w:hint="eastAsia" w:ascii="宋体" w:hAnsi="宋体" w:cs="宋体"/>
          <w:sz w:val="22"/>
        </w:rPr>
        <w:t>投标人与政府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numPr>
          <w:ilvl w:val="1"/>
          <w:numId w:val="13"/>
        </w:numPr>
        <w:rPr>
          <w:rFonts w:ascii="宋体" w:hAnsi="宋体" w:cs="宋体"/>
          <w:sz w:val="22"/>
        </w:rPr>
      </w:pPr>
      <w:r>
        <w:rPr>
          <w:rFonts w:hint="eastAsia" w:ascii="宋体" w:hAnsi="宋体" w:cs="宋体"/>
          <w:sz w:val="22"/>
        </w:rPr>
        <w:t>除技术规范另有规定外，投标文件使用的度量单位，均采用中华人民共和国法定计量单位。</w:t>
      </w:r>
    </w:p>
    <w:p>
      <w:pPr>
        <w:ind w:left="907"/>
        <w:rPr>
          <w:rFonts w:ascii="宋体" w:hAnsi="宋体" w:cs="宋体"/>
          <w:sz w:val="22"/>
        </w:rPr>
      </w:pPr>
    </w:p>
    <w:p>
      <w:pPr>
        <w:numPr>
          <w:ilvl w:val="0"/>
          <w:numId w:val="12"/>
        </w:numPr>
        <w:rPr>
          <w:rFonts w:ascii="宋体" w:hAnsi="宋体" w:cs="宋体"/>
          <w:sz w:val="22"/>
        </w:rPr>
      </w:pPr>
      <w:bookmarkStart w:id="110" w:name="_Toc73521562"/>
      <w:bookmarkStart w:id="111" w:name="_Toc100052379"/>
      <w:bookmarkStart w:id="112" w:name="_Toc73521650"/>
      <w:bookmarkStart w:id="113" w:name="_Toc60560640"/>
      <w:bookmarkStart w:id="114" w:name="_Toc73517654"/>
      <w:bookmarkStart w:id="115" w:name="_Toc73518132"/>
      <w:bookmarkStart w:id="116" w:name="_Toc60631635"/>
      <w:r>
        <w:rPr>
          <w:rFonts w:hint="eastAsia" w:ascii="宋体" w:hAnsi="宋体" w:cs="宋体"/>
          <w:sz w:val="22"/>
        </w:rPr>
        <w:t>投标文件的组成</w:t>
      </w:r>
      <w:bookmarkEnd w:id="110"/>
      <w:bookmarkEnd w:id="111"/>
      <w:bookmarkEnd w:id="112"/>
      <w:bookmarkEnd w:id="113"/>
      <w:bookmarkEnd w:id="114"/>
      <w:bookmarkEnd w:id="115"/>
      <w:bookmarkEnd w:id="116"/>
    </w:p>
    <w:p>
      <w:pPr>
        <w:numPr>
          <w:ilvl w:val="0"/>
          <w:numId w:val="16"/>
        </w:numPr>
        <w:spacing w:line="360" w:lineRule="auto"/>
        <w:ind w:left="420"/>
        <w:rPr>
          <w:rFonts w:ascii="宋体" w:hAnsi="宋体" w:cs="宋体"/>
          <w:sz w:val="22"/>
        </w:rPr>
      </w:pPr>
      <w:bookmarkStart w:id="117" w:name="投标文件的组成"/>
      <w:bookmarkStart w:id="118" w:name="_Toc73521651"/>
      <w:bookmarkStart w:id="119" w:name="_Toc60560641"/>
      <w:bookmarkStart w:id="120" w:name="_Toc73518133"/>
      <w:bookmarkStart w:id="121" w:name="_Toc60631636"/>
      <w:bookmarkStart w:id="122" w:name="_Toc73517655"/>
      <w:bookmarkStart w:id="123" w:name="_Toc73521563"/>
      <w:r>
        <w:rPr>
          <w:rFonts w:hint="eastAsia" w:ascii="宋体" w:hAnsi="宋体" w:cs="宋体"/>
          <w:sz w:val="22"/>
        </w:rPr>
        <w:t>评标指引表</w:t>
      </w:r>
    </w:p>
    <w:p>
      <w:pPr>
        <w:numPr>
          <w:ilvl w:val="0"/>
          <w:numId w:val="16"/>
        </w:numPr>
        <w:spacing w:line="360" w:lineRule="auto"/>
        <w:ind w:left="420"/>
        <w:rPr>
          <w:rFonts w:ascii="宋体" w:hAnsi="宋体" w:cs="宋体"/>
          <w:sz w:val="22"/>
        </w:rPr>
      </w:pPr>
      <w:r>
        <w:rPr>
          <w:rFonts w:hint="eastAsia" w:ascii="宋体" w:hAnsi="宋体" w:cs="宋体"/>
          <w:sz w:val="22"/>
        </w:rPr>
        <w:t>投标函及投标保证金交纳凭证</w:t>
      </w:r>
    </w:p>
    <w:p>
      <w:pPr>
        <w:numPr>
          <w:ilvl w:val="0"/>
          <w:numId w:val="16"/>
        </w:numPr>
        <w:spacing w:line="360" w:lineRule="auto"/>
        <w:ind w:left="420"/>
        <w:rPr>
          <w:rFonts w:ascii="宋体" w:hAnsi="宋体" w:cs="宋体"/>
          <w:sz w:val="22"/>
        </w:rPr>
      </w:pPr>
      <w:r>
        <w:rPr>
          <w:rFonts w:hint="eastAsia" w:ascii="宋体" w:hAnsi="宋体" w:cs="宋体"/>
          <w:sz w:val="22"/>
        </w:rPr>
        <w:t>政府采购投标及履约承诺函</w:t>
      </w:r>
    </w:p>
    <w:p>
      <w:pPr>
        <w:numPr>
          <w:ilvl w:val="0"/>
          <w:numId w:val="16"/>
        </w:numPr>
        <w:spacing w:line="360" w:lineRule="auto"/>
        <w:ind w:left="420"/>
        <w:rPr>
          <w:rFonts w:ascii="宋体" w:hAnsi="宋体" w:cs="宋体"/>
          <w:sz w:val="22"/>
        </w:rPr>
      </w:pPr>
      <w:r>
        <w:rPr>
          <w:rFonts w:hint="eastAsia" w:ascii="宋体" w:hAnsi="宋体" w:cs="宋体"/>
          <w:sz w:val="22"/>
        </w:rPr>
        <w:t>诚信承诺函</w:t>
      </w:r>
    </w:p>
    <w:p>
      <w:pPr>
        <w:numPr>
          <w:ilvl w:val="0"/>
          <w:numId w:val="16"/>
        </w:numPr>
        <w:spacing w:line="360" w:lineRule="auto"/>
        <w:ind w:left="420"/>
        <w:rPr>
          <w:rFonts w:ascii="宋体" w:hAnsi="宋体" w:cs="宋体"/>
          <w:sz w:val="22"/>
        </w:rPr>
      </w:pPr>
      <w:r>
        <w:rPr>
          <w:rFonts w:hint="eastAsia" w:ascii="宋体" w:hAnsi="宋体" w:cs="宋体"/>
          <w:sz w:val="22"/>
        </w:rPr>
        <w:t>政府采购违法行为风险知悉确认书</w:t>
      </w:r>
    </w:p>
    <w:p>
      <w:pPr>
        <w:numPr>
          <w:ilvl w:val="0"/>
          <w:numId w:val="16"/>
        </w:numPr>
        <w:spacing w:line="360" w:lineRule="auto"/>
        <w:ind w:left="420"/>
        <w:rPr>
          <w:rFonts w:ascii="宋体" w:hAnsi="宋体" w:cs="宋体"/>
          <w:sz w:val="22"/>
        </w:rPr>
      </w:pPr>
      <w:r>
        <w:rPr>
          <w:rFonts w:hint="eastAsia" w:ascii="宋体" w:hAnsi="宋体" w:cs="宋体"/>
          <w:sz w:val="22"/>
        </w:rPr>
        <w:t>法定代表人证明书</w:t>
      </w:r>
    </w:p>
    <w:p>
      <w:pPr>
        <w:numPr>
          <w:ilvl w:val="0"/>
          <w:numId w:val="16"/>
        </w:numPr>
        <w:spacing w:line="360" w:lineRule="auto"/>
        <w:ind w:left="420"/>
        <w:rPr>
          <w:rFonts w:ascii="宋体" w:hAnsi="宋体" w:cs="宋体"/>
          <w:sz w:val="22"/>
        </w:rPr>
      </w:pPr>
      <w:r>
        <w:rPr>
          <w:rFonts w:hint="eastAsia" w:ascii="宋体" w:hAnsi="宋体" w:cs="宋体"/>
          <w:sz w:val="22"/>
        </w:rPr>
        <w:t>法定代表人授权书</w:t>
      </w:r>
    </w:p>
    <w:p>
      <w:pPr>
        <w:numPr>
          <w:ilvl w:val="0"/>
          <w:numId w:val="16"/>
        </w:numPr>
        <w:spacing w:line="360" w:lineRule="auto"/>
        <w:ind w:left="420"/>
        <w:rPr>
          <w:rFonts w:ascii="宋体" w:hAnsi="宋体" w:cs="宋体"/>
          <w:sz w:val="22"/>
        </w:rPr>
      </w:pPr>
      <w:r>
        <w:rPr>
          <w:rFonts w:hint="eastAsia" w:ascii="宋体" w:hAnsi="宋体" w:cs="宋体"/>
          <w:sz w:val="22"/>
        </w:rPr>
        <w:t>招标代理服务费承诺函</w:t>
      </w:r>
    </w:p>
    <w:p>
      <w:pPr>
        <w:numPr>
          <w:ilvl w:val="0"/>
          <w:numId w:val="16"/>
        </w:numPr>
        <w:spacing w:line="360" w:lineRule="auto"/>
        <w:ind w:left="420"/>
        <w:rPr>
          <w:rFonts w:ascii="宋体" w:hAnsi="宋体" w:cs="宋体"/>
          <w:sz w:val="22"/>
        </w:rPr>
      </w:pPr>
      <w:r>
        <w:rPr>
          <w:rFonts w:hint="eastAsia" w:ascii="宋体" w:hAnsi="宋体" w:cs="宋体"/>
          <w:sz w:val="22"/>
        </w:rPr>
        <w:t>报价清单表</w:t>
      </w:r>
    </w:p>
    <w:p>
      <w:pPr>
        <w:numPr>
          <w:ilvl w:val="0"/>
          <w:numId w:val="16"/>
        </w:numPr>
        <w:spacing w:line="360" w:lineRule="auto"/>
        <w:ind w:left="420"/>
        <w:rPr>
          <w:rFonts w:ascii="宋体" w:hAnsi="宋体" w:cs="宋体"/>
          <w:sz w:val="22"/>
        </w:rPr>
      </w:pPr>
      <w:r>
        <w:rPr>
          <w:rFonts w:hint="eastAsia" w:ascii="宋体" w:hAnsi="宋体" w:cs="宋体"/>
          <w:sz w:val="22"/>
        </w:rPr>
        <w:t>供应商情况介绍</w:t>
      </w:r>
    </w:p>
    <w:p>
      <w:pPr>
        <w:numPr>
          <w:ilvl w:val="0"/>
          <w:numId w:val="16"/>
        </w:numPr>
        <w:spacing w:line="360" w:lineRule="auto"/>
        <w:ind w:left="420"/>
        <w:rPr>
          <w:rFonts w:ascii="宋体" w:hAnsi="宋体" w:cs="宋体"/>
          <w:sz w:val="22"/>
        </w:rPr>
      </w:pPr>
      <w:r>
        <w:rPr>
          <w:rFonts w:hint="eastAsia" w:ascii="宋体" w:hAnsi="宋体" w:cs="宋体"/>
          <w:sz w:val="22"/>
        </w:rPr>
        <w:t>项目主要管理及技术人员情况</w:t>
      </w:r>
    </w:p>
    <w:p>
      <w:pPr>
        <w:numPr>
          <w:ilvl w:val="0"/>
          <w:numId w:val="16"/>
        </w:numPr>
        <w:spacing w:line="360" w:lineRule="auto"/>
        <w:ind w:left="420"/>
        <w:rPr>
          <w:rFonts w:ascii="宋体" w:hAnsi="宋体" w:cs="宋体"/>
          <w:sz w:val="22"/>
        </w:rPr>
      </w:pPr>
      <w:r>
        <w:rPr>
          <w:rFonts w:hint="eastAsia" w:ascii="宋体" w:hAnsi="宋体" w:cs="宋体"/>
          <w:sz w:val="22"/>
        </w:rPr>
        <w:t>项目具体方案</w:t>
      </w:r>
    </w:p>
    <w:p>
      <w:pPr>
        <w:numPr>
          <w:ilvl w:val="0"/>
          <w:numId w:val="16"/>
        </w:numPr>
        <w:spacing w:line="360" w:lineRule="auto"/>
        <w:ind w:left="420"/>
        <w:rPr>
          <w:rFonts w:ascii="宋体" w:hAnsi="宋体" w:cs="宋体"/>
          <w:sz w:val="22"/>
        </w:rPr>
      </w:pPr>
      <w:r>
        <w:rPr>
          <w:rFonts w:hint="eastAsia" w:ascii="宋体" w:hAnsi="宋体" w:cs="宋体"/>
          <w:sz w:val="22"/>
        </w:rPr>
        <w:t>商务条款偏离表</w:t>
      </w:r>
    </w:p>
    <w:p>
      <w:pPr>
        <w:numPr>
          <w:ilvl w:val="0"/>
          <w:numId w:val="16"/>
        </w:numPr>
        <w:spacing w:line="360" w:lineRule="auto"/>
        <w:ind w:left="420"/>
        <w:rPr>
          <w:rFonts w:ascii="宋体" w:hAnsi="宋体" w:cs="宋体"/>
          <w:sz w:val="22"/>
        </w:rPr>
      </w:pPr>
      <w:r>
        <w:rPr>
          <w:rFonts w:hint="eastAsia" w:ascii="宋体" w:hAnsi="宋体" w:cs="宋体"/>
          <w:sz w:val="22"/>
        </w:rPr>
        <w:t>服务条款偏离表</w:t>
      </w:r>
    </w:p>
    <w:p>
      <w:pPr>
        <w:numPr>
          <w:ilvl w:val="0"/>
          <w:numId w:val="16"/>
        </w:numPr>
        <w:spacing w:line="360" w:lineRule="auto"/>
        <w:ind w:left="420"/>
        <w:rPr>
          <w:rFonts w:ascii="宋体" w:hAnsi="宋体" w:cs="宋体"/>
          <w:sz w:val="22"/>
        </w:rPr>
      </w:pPr>
      <w:r>
        <w:rPr>
          <w:rFonts w:hint="eastAsia" w:ascii="宋体" w:hAnsi="宋体" w:cs="宋体"/>
          <w:sz w:val="22"/>
        </w:rPr>
        <w:t>中小企业、残疾人福利性单位和监狱企业政策导向</w:t>
      </w:r>
    </w:p>
    <w:p>
      <w:pPr>
        <w:numPr>
          <w:ilvl w:val="0"/>
          <w:numId w:val="16"/>
        </w:numPr>
        <w:spacing w:line="360" w:lineRule="auto"/>
        <w:ind w:left="420"/>
        <w:rPr>
          <w:rFonts w:ascii="宋体" w:hAnsi="宋体" w:cs="宋体"/>
          <w:sz w:val="22"/>
        </w:rPr>
      </w:pPr>
      <w:r>
        <w:rPr>
          <w:rFonts w:hint="eastAsia" w:ascii="宋体" w:hAnsi="宋体" w:cs="宋体"/>
          <w:sz w:val="22"/>
        </w:rPr>
        <w:t>招标文件要求的其他内容及投标人认为需要加以说明的其他内容</w:t>
      </w:r>
    </w:p>
    <w:p>
      <w:pPr>
        <w:ind w:left="907"/>
        <w:rPr>
          <w:rFonts w:ascii="宋体" w:hAnsi="宋体" w:cs="宋体"/>
          <w:sz w:val="22"/>
        </w:rPr>
      </w:pPr>
      <w:r>
        <w:rPr>
          <w:rFonts w:hint="eastAsia" w:ascii="宋体" w:hAnsi="宋体" w:cs="宋体"/>
          <w:sz w:val="22"/>
        </w:rPr>
        <w:t>上述文件须按顺序装订成册，并编制投标文件目录。</w:t>
      </w:r>
    </w:p>
    <w:p>
      <w:pPr>
        <w:ind w:left="907"/>
        <w:rPr>
          <w:rFonts w:ascii="宋体" w:hAnsi="宋体" w:cs="宋体"/>
          <w:sz w:val="22"/>
        </w:rPr>
      </w:pPr>
      <w:r>
        <w:rPr>
          <w:rFonts w:hint="eastAsia" w:ascii="宋体" w:hAnsi="宋体" w:cs="宋体"/>
          <w:sz w:val="22"/>
        </w:rPr>
        <w:t>除上述文件资料外还须按采购文件要求制作“开标文件”。“开标文件”作为投标文件的一部分，但须单独密封。</w:t>
      </w:r>
    </w:p>
    <w:p>
      <w:pPr>
        <w:ind w:left="907"/>
        <w:rPr>
          <w:rFonts w:ascii="宋体" w:hAnsi="宋体" w:cs="宋体"/>
          <w:sz w:val="22"/>
        </w:rPr>
      </w:pPr>
    </w:p>
    <w:bookmarkEnd w:id="117"/>
    <w:p>
      <w:pPr>
        <w:numPr>
          <w:ilvl w:val="0"/>
          <w:numId w:val="12"/>
        </w:numPr>
        <w:rPr>
          <w:rFonts w:ascii="宋体" w:hAnsi="宋体" w:cs="宋体"/>
          <w:sz w:val="22"/>
        </w:rPr>
      </w:pPr>
      <w:bookmarkStart w:id="124" w:name="_Toc100052380"/>
      <w:r>
        <w:rPr>
          <w:rFonts w:hint="eastAsia" w:ascii="宋体" w:hAnsi="宋体" w:cs="宋体"/>
          <w:sz w:val="22"/>
        </w:rPr>
        <w:t>投标文件格式</w:t>
      </w:r>
      <w:bookmarkEnd w:id="118"/>
      <w:bookmarkEnd w:id="119"/>
      <w:bookmarkEnd w:id="120"/>
      <w:bookmarkEnd w:id="121"/>
      <w:bookmarkEnd w:id="122"/>
      <w:bookmarkEnd w:id="123"/>
      <w:bookmarkEnd w:id="124"/>
    </w:p>
    <w:p>
      <w:pPr>
        <w:numPr>
          <w:ilvl w:val="1"/>
          <w:numId w:val="13"/>
        </w:numPr>
        <w:rPr>
          <w:rFonts w:ascii="宋体" w:hAnsi="宋体" w:cs="宋体"/>
          <w:sz w:val="22"/>
        </w:rPr>
      </w:pPr>
      <w:r>
        <w:rPr>
          <w:rFonts w:hint="eastAsia" w:ascii="宋体" w:hAnsi="宋体" w:cs="宋体"/>
          <w:sz w:val="22"/>
        </w:rPr>
        <w:t>投标文件包括本通用条款第15条中规定的内容。如采购文件提供了投标文件格式，则投标人提交的投标文件应毫无例外地使用采购文件所提供的相应格式（表格可以按同样格式扩展）。</w:t>
      </w:r>
      <w:bookmarkStart w:id="125" w:name="_Toc60631638"/>
      <w:bookmarkStart w:id="126" w:name="_Toc73521565"/>
      <w:bookmarkStart w:id="127" w:name="_Toc60560643"/>
      <w:bookmarkStart w:id="128" w:name="_Toc73517657"/>
      <w:bookmarkStart w:id="129" w:name="_Toc73521653"/>
      <w:bookmarkStart w:id="130" w:name="_Toc73518135"/>
    </w:p>
    <w:p>
      <w:pPr>
        <w:ind w:left="907"/>
        <w:rPr>
          <w:rFonts w:ascii="宋体" w:hAnsi="宋体" w:cs="宋体"/>
          <w:sz w:val="22"/>
        </w:rPr>
      </w:pPr>
    </w:p>
    <w:p>
      <w:pPr>
        <w:numPr>
          <w:ilvl w:val="0"/>
          <w:numId w:val="12"/>
        </w:numPr>
        <w:rPr>
          <w:rFonts w:ascii="宋体" w:hAnsi="宋体" w:cs="宋体"/>
          <w:sz w:val="22"/>
        </w:rPr>
      </w:pPr>
      <w:bookmarkStart w:id="131" w:name="_Toc100052382"/>
      <w:r>
        <w:rPr>
          <w:rFonts w:hint="eastAsia" w:ascii="宋体" w:hAnsi="宋体" w:cs="宋体"/>
          <w:sz w:val="22"/>
        </w:rPr>
        <w:t>投标货币</w:t>
      </w:r>
      <w:bookmarkEnd w:id="125"/>
      <w:bookmarkEnd w:id="126"/>
      <w:bookmarkEnd w:id="127"/>
      <w:bookmarkEnd w:id="128"/>
      <w:bookmarkEnd w:id="129"/>
      <w:bookmarkEnd w:id="130"/>
      <w:bookmarkEnd w:id="131"/>
    </w:p>
    <w:p>
      <w:pPr>
        <w:numPr>
          <w:ilvl w:val="1"/>
          <w:numId w:val="13"/>
        </w:numPr>
        <w:rPr>
          <w:rFonts w:ascii="宋体" w:hAnsi="宋体" w:cs="宋体"/>
          <w:sz w:val="22"/>
        </w:rPr>
      </w:pPr>
      <w:r>
        <w:rPr>
          <w:rFonts w:hint="eastAsia" w:ascii="宋体" w:hAnsi="宋体" w:cs="宋体"/>
          <w:sz w:val="22"/>
        </w:rPr>
        <w:t>本项目的投标应以人民币计。</w:t>
      </w:r>
    </w:p>
    <w:p>
      <w:pPr>
        <w:ind w:left="907"/>
        <w:rPr>
          <w:rFonts w:ascii="宋体" w:hAnsi="宋体" w:cs="宋体"/>
          <w:sz w:val="22"/>
        </w:rPr>
      </w:pPr>
    </w:p>
    <w:p>
      <w:pPr>
        <w:numPr>
          <w:ilvl w:val="0"/>
          <w:numId w:val="12"/>
        </w:numPr>
        <w:rPr>
          <w:rFonts w:ascii="宋体" w:hAnsi="宋体" w:cs="宋体"/>
          <w:sz w:val="22"/>
        </w:rPr>
      </w:pPr>
      <w:r>
        <w:rPr>
          <w:rFonts w:hint="eastAsia" w:ascii="宋体" w:hAnsi="宋体" w:cs="宋体"/>
          <w:sz w:val="22"/>
        </w:rPr>
        <w:t>证明投标文件投标技术方案的合格性和符合采购文件规定的文件要求</w:t>
      </w:r>
    </w:p>
    <w:p>
      <w:pPr>
        <w:numPr>
          <w:ilvl w:val="1"/>
          <w:numId w:val="13"/>
        </w:numPr>
        <w:rPr>
          <w:rFonts w:ascii="宋体" w:hAnsi="宋体" w:cs="宋体"/>
          <w:sz w:val="22"/>
        </w:rPr>
      </w:pPr>
      <w:r>
        <w:rPr>
          <w:rFonts w:hint="eastAsia" w:ascii="宋体" w:hAnsi="宋体" w:cs="宋体"/>
          <w:sz w:val="22"/>
        </w:rPr>
        <w:t>投标人应提交证明文件证明其投标技术方案项下的货物、工程和服务的合格性符合采购文件规定。该投标技术方案及其证明文件作为投标文件的一部分。</w:t>
      </w:r>
    </w:p>
    <w:p>
      <w:pPr>
        <w:numPr>
          <w:ilvl w:val="1"/>
          <w:numId w:val="13"/>
        </w:numPr>
        <w:rPr>
          <w:rFonts w:ascii="宋体" w:hAnsi="宋体" w:cs="宋体"/>
          <w:sz w:val="22"/>
        </w:rPr>
      </w:pPr>
      <w:r>
        <w:rPr>
          <w:rFonts w:hint="eastAsia" w:ascii="宋体" w:hAnsi="宋体" w:cs="宋体"/>
          <w:sz w:val="22"/>
        </w:rPr>
        <w:t>投标人提供证明投标技术方案与采购文件的要求相一致的文件，可以是文字资料、图纸、数据或数码照片、制造商公布的产品说明书、产品彩页和我国政府机构出具的产品检验和核准证件等，以证明投标人响应的真实性。它包括并应符合以下要求：</w:t>
      </w:r>
    </w:p>
    <w:p>
      <w:pPr>
        <w:numPr>
          <w:ilvl w:val="2"/>
          <w:numId w:val="17"/>
        </w:numPr>
        <w:rPr>
          <w:rFonts w:ascii="宋体" w:hAnsi="宋体" w:cs="宋体"/>
          <w:sz w:val="22"/>
        </w:rPr>
      </w:pPr>
      <w:r>
        <w:rPr>
          <w:rFonts w:hint="eastAsia" w:ascii="宋体" w:hAnsi="宋体" w:cs="宋体"/>
          <w:sz w:val="22"/>
        </w:rPr>
        <w:t>主要技术指标和性能的详细说明。</w:t>
      </w:r>
    </w:p>
    <w:p>
      <w:pPr>
        <w:numPr>
          <w:ilvl w:val="2"/>
          <w:numId w:val="17"/>
        </w:numPr>
        <w:rPr>
          <w:rFonts w:ascii="宋体" w:hAnsi="宋体" w:cs="宋体"/>
          <w:sz w:val="22"/>
        </w:rPr>
      </w:pPr>
      <w:r>
        <w:rPr>
          <w:rFonts w:hint="eastAsia" w:ascii="宋体" w:hAnsi="宋体" w:cs="宋体"/>
          <w:sz w:val="22"/>
        </w:rPr>
        <w:t>投标产品从采购单位开始使用至采购文件中规定的周期内正常、连续地使用所必须的备件和专用工具清单，包括备件和专用工具的货源及现行价格。</w:t>
      </w:r>
    </w:p>
    <w:p>
      <w:pPr>
        <w:numPr>
          <w:ilvl w:val="2"/>
          <w:numId w:val="17"/>
        </w:numPr>
        <w:rPr>
          <w:rFonts w:ascii="宋体" w:hAnsi="宋体" w:cs="宋体"/>
          <w:sz w:val="22"/>
        </w:rPr>
      </w:pPr>
      <w:r>
        <w:rPr>
          <w:rFonts w:hint="eastAsia" w:ascii="宋体" w:hAnsi="宋体" w:cs="宋体"/>
          <w:sz w:val="22"/>
        </w:rPr>
        <w:t>对照采购文件技术规格，逐条说明投标技术方案已对采购单位的技术规格做出了实质性的响应，或申明与技术规格条文的偏差和例外。投标人应详细说明投标技术方案中产品的具体参数，不得以谋取中标为目的的照搬照抄采购文件的技术要求。</w:t>
      </w:r>
    </w:p>
    <w:p>
      <w:pPr>
        <w:numPr>
          <w:ilvl w:val="2"/>
          <w:numId w:val="17"/>
        </w:numPr>
        <w:rPr>
          <w:rFonts w:ascii="宋体" w:hAnsi="宋体" w:cs="宋体"/>
          <w:sz w:val="22"/>
        </w:rPr>
      </w:pPr>
      <w:r>
        <w:rPr>
          <w:rFonts w:hint="eastAsia" w:ascii="宋体" w:hAnsi="宋体" w:cs="宋体"/>
          <w:sz w:val="22"/>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提供原件扫描件；</w:t>
      </w:r>
    </w:p>
    <w:p>
      <w:pPr>
        <w:numPr>
          <w:ilvl w:val="2"/>
          <w:numId w:val="17"/>
        </w:numPr>
        <w:rPr>
          <w:rFonts w:ascii="宋体" w:hAnsi="宋体" w:cs="宋体"/>
          <w:sz w:val="22"/>
        </w:rPr>
      </w:pPr>
      <w:r>
        <w:rPr>
          <w:rFonts w:hint="eastAsia" w:ascii="宋体" w:hAnsi="宋体" w:cs="宋体"/>
          <w:sz w:val="22"/>
        </w:rPr>
        <w:t>我国政府机构出具的产品检验和核准证件应为证件正面、背面和附件标注的全部具体内容；产品检验和核准证件的尺寸和清晰度应该能够在电脑上被阅读、识别和判断，提供原件扫描件。</w:t>
      </w:r>
    </w:p>
    <w:p>
      <w:pPr>
        <w:numPr>
          <w:ilvl w:val="1"/>
          <w:numId w:val="13"/>
        </w:numPr>
        <w:rPr>
          <w:rFonts w:ascii="宋体" w:hAnsi="宋体" w:cs="宋体"/>
          <w:sz w:val="22"/>
        </w:rPr>
      </w:pPr>
      <w:r>
        <w:rPr>
          <w:rFonts w:hint="eastAsia" w:ascii="宋体" w:hAnsi="宋体" w:cs="宋体"/>
          <w:sz w:val="22"/>
        </w:rPr>
        <w:t>相关资料不符合18.2款要求的，评审委员会有权认定为投标技术方案不合格响应，其相关分数予以扣减或作废标处理。</w:t>
      </w:r>
    </w:p>
    <w:p>
      <w:pPr>
        <w:numPr>
          <w:ilvl w:val="1"/>
          <w:numId w:val="13"/>
        </w:numPr>
        <w:rPr>
          <w:rFonts w:ascii="宋体" w:hAnsi="宋体" w:cs="宋体"/>
          <w:sz w:val="22"/>
        </w:rPr>
      </w:pPr>
      <w:r>
        <w:rPr>
          <w:rFonts w:hint="eastAsia" w:ascii="宋体" w:hAnsi="宋体" w:cs="宋体"/>
          <w:sz w:val="22"/>
        </w:rPr>
        <w:t>评审委员会有权对以谋取中标为目的的技术规格模糊响应（如有意照搬照抄采购文件的技术要求）或虚假响应予以认定。供应商上述行为一经发现或查实，除扣分或废标外，还可能被一并处以没收投标保证金的处罚，政府采购代理机构可视情况报政府采购监督管理部门做进一步处理。</w:t>
      </w:r>
    </w:p>
    <w:p>
      <w:pPr>
        <w:numPr>
          <w:ilvl w:val="1"/>
          <w:numId w:val="13"/>
        </w:numPr>
        <w:rPr>
          <w:rFonts w:ascii="宋体" w:hAnsi="宋体" w:cs="宋体"/>
          <w:sz w:val="22"/>
        </w:rPr>
      </w:pPr>
      <w:r>
        <w:rPr>
          <w:rFonts w:hint="eastAsia" w:ascii="宋体" w:hAnsi="宋体" w:cs="宋体"/>
          <w:sz w:val="22"/>
        </w:rPr>
        <w:t>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采购文件中技术规格的要求，是否满足要求，由评审委员会来评判。</w:t>
      </w:r>
    </w:p>
    <w:p>
      <w:pPr>
        <w:numPr>
          <w:ilvl w:val="1"/>
          <w:numId w:val="13"/>
        </w:numPr>
        <w:rPr>
          <w:rFonts w:ascii="宋体" w:hAnsi="宋体" w:cs="宋体"/>
          <w:sz w:val="22"/>
        </w:rPr>
      </w:pPr>
      <w:r>
        <w:rPr>
          <w:rFonts w:hint="eastAsia" w:ascii="宋体" w:hAnsi="宋体" w:cs="宋体"/>
          <w:sz w:val="22"/>
        </w:rPr>
        <w:t>为保证公平公正，除非另有规定或说明，投标人对同一货物或服务投标时，不得同时提供两套或两套以上的投标方案。</w:t>
      </w:r>
    </w:p>
    <w:p>
      <w:pPr>
        <w:ind w:left="907"/>
        <w:rPr>
          <w:rFonts w:ascii="宋体" w:hAnsi="宋体" w:cs="宋体"/>
          <w:sz w:val="22"/>
        </w:rPr>
      </w:pPr>
    </w:p>
    <w:p>
      <w:pPr>
        <w:numPr>
          <w:ilvl w:val="0"/>
          <w:numId w:val="12"/>
        </w:numPr>
        <w:rPr>
          <w:rFonts w:ascii="宋体" w:hAnsi="宋体" w:cs="宋体"/>
          <w:sz w:val="22"/>
        </w:rPr>
      </w:pPr>
      <w:r>
        <w:rPr>
          <w:rFonts w:hint="eastAsia" w:ascii="宋体" w:hAnsi="宋体" w:cs="宋体"/>
          <w:sz w:val="22"/>
        </w:rPr>
        <w:t>投标文件其他证明文件的要求</w:t>
      </w:r>
    </w:p>
    <w:p>
      <w:pPr>
        <w:numPr>
          <w:ilvl w:val="1"/>
          <w:numId w:val="13"/>
        </w:numPr>
        <w:rPr>
          <w:rFonts w:ascii="宋体" w:hAnsi="宋体" w:cs="宋体"/>
          <w:sz w:val="22"/>
        </w:rPr>
      </w:pPr>
      <w:bookmarkStart w:id="132" w:name="_Toc100052383"/>
      <w:bookmarkStart w:id="133" w:name="_Toc73521654"/>
      <w:bookmarkStart w:id="134" w:name="_Toc60631639"/>
      <w:bookmarkStart w:id="135" w:name="_Toc73521566"/>
      <w:bookmarkStart w:id="136" w:name="_Toc60560644"/>
      <w:bookmarkStart w:id="137" w:name="_Toc73518136"/>
      <w:bookmarkStart w:id="138" w:name="_Toc73517658"/>
      <w:r>
        <w:rPr>
          <w:rFonts w:hint="eastAsia" w:ascii="宋体" w:hAnsi="宋体" w:cs="宋体"/>
          <w:sz w:val="22"/>
        </w:rPr>
        <w:t>对项目采购文件《评标信息》评分项中涉及的相关业绩、社保情况、纳税情况、银行资信等级和资金流状况等内容以及《投标文件初审表》中涉及的资格证书，投标人应提供相关部门出具的证明材料扫描件或照片（原件或复印件均可），原件备查。有关扫描件（或照片）的尺寸和清晰度应该能够在电脑上被阅读、识别和判断。若投标人未按要求提供证明材料或提供的是部分证明材料或提供不清晰的扫描件（或照片）的，评审委员会有权认定其投标文件未对采购文件有关需求进行响应，涉及资格性检查或符合性检查的予以废标处理，涉及《评标信息》打分项的则该项评分予以0分处理。</w:t>
      </w:r>
    </w:p>
    <w:p>
      <w:pPr>
        <w:numPr>
          <w:ilvl w:val="1"/>
          <w:numId w:val="13"/>
        </w:numPr>
        <w:rPr>
          <w:rFonts w:ascii="宋体" w:hAnsi="宋体" w:cs="宋体"/>
          <w:sz w:val="22"/>
        </w:rPr>
      </w:pPr>
      <w:r>
        <w:rPr>
          <w:rFonts w:hint="eastAsia" w:ascii="宋体" w:hAnsi="宋体" w:cs="宋体"/>
          <w:sz w:val="22"/>
        </w:rPr>
        <w:t>本项目涉及提供的有关资质证书，若原有资质证书处于年审期间，须提供证书颁发部门提供的回执，并且回执须证明该证书依然有效，则该投标人提供年审证明的可按原资质投标；若投标人正在申报上一级别资质，在未获批准之前，仍按原级别资质投标。</w:t>
      </w:r>
    </w:p>
    <w:p>
      <w:pPr>
        <w:ind w:left="907"/>
        <w:rPr>
          <w:rFonts w:ascii="宋体" w:hAnsi="宋体" w:cs="宋体"/>
          <w:sz w:val="22"/>
        </w:rPr>
      </w:pPr>
    </w:p>
    <w:p>
      <w:pPr>
        <w:numPr>
          <w:ilvl w:val="0"/>
          <w:numId w:val="12"/>
        </w:numPr>
        <w:rPr>
          <w:rFonts w:ascii="宋体" w:hAnsi="宋体" w:cs="宋体"/>
          <w:sz w:val="22"/>
        </w:rPr>
      </w:pPr>
      <w:r>
        <w:rPr>
          <w:rFonts w:hint="eastAsia" w:ascii="宋体" w:hAnsi="宋体" w:cs="宋体"/>
          <w:sz w:val="22"/>
        </w:rPr>
        <w:t>投标有效期</w:t>
      </w:r>
      <w:bookmarkEnd w:id="132"/>
      <w:bookmarkEnd w:id="133"/>
      <w:bookmarkEnd w:id="134"/>
      <w:bookmarkEnd w:id="135"/>
      <w:bookmarkEnd w:id="136"/>
      <w:bookmarkEnd w:id="137"/>
      <w:bookmarkEnd w:id="138"/>
    </w:p>
    <w:p>
      <w:pPr>
        <w:numPr>
          <w:ilvl w:val="1"/>
          <w:numId w:val="13"/>
        </w:numPr>
        <w:rPr>
          <w:rFonts w:ascii="宋体" w:hAnsi="宋体" w:cs="宋体"/>
          <w:sz w:val="22"/>
        </w:rPr>
      </w:pPr>
      <w:r>
        <w:rPr>
          <w:rFonts w:hint="eastAsia" w:ascii="宋体" w:hAnsi="宋体" w:cs="宋体"/>
          <w:sz w:val="22"/>
        </w:rPr>
        <w:t>投标有效期为从投标截止之日算起的日历天数，具体见专用条款中投标有效期的天数要求。在此期限内，所有投标文件均保持有效；</w:t>
      </w:r>
    </w:p>
    <w:p>
      <w:pPr>
        <w:numPr>
          <w:ilvl w:val="1"/>
          <w:numId w:val="13"/>
        </w:numPr>
        <w:rPr>
          <w:rFonts w:ascii="宋体" w:hAnsi="宋体" w:cs="宋体"/>
          <w:sz w:val="22"/>
        </w:rPr>
      </w:pPr>
      <w:r>
        <w:rPr>
          <w:rFonts w:hint="eastAsia" w:ascii="宋体" w:hAnsi="宋体" w:cs="宋体"/>
          <w:sz w:val="22"/>
        </w:rPr>
        <w:t>在特殊的情况下，政府采购代理机构在原定的投标有效期满之前，政府采购代理机构可以根据需要以书面形式（包括网站公开发布方式）向投标人提出延长投标有效期的要求，对此要求投标人须以书面形式予以答复，投标人可以拒绝政府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21条关于投标保证金的退还与没收的规定仍然适用；</w:t>
      </w:r>
    </w:p>
    <w:p>
      <w:pPr>
        <w:numPr>
          <w:ilvl w:val="1"/>
          <w:numId w:val="13"/>
        </w:numPr>
        <w:rPr>
          <w:rFonts w:ascii="宋体" w:hAnsi="宋体" w:cs="宋体"/>
          <w:sz w:val="22"/>
        </w:rPr>
      </w:pPr>
      <w:r>
        <w:rPr>
          <w:rFonts w:hint="eastAsia" w:ascii="宋体" w:hAnsi="宋体" w:cs="宋体"/>
          <w:sz w:val="22"/>
        </w:rPr>
        <w:t>中标单位的投标书有效期，截止于完成本采购文件规定的全部项目内容，并通过竣工验收及保修结束。</w:t>
      </w:r>
    </w:p>
    <w:p>
      <w:pPr>
        <w:ind w:left="907"/>
        <w:rPr>
          <w:rFonts w:ascii="宋体" w:hAnsi="宋体" w:cs="宋体"/>
          <w:sz w:val="22"/>
        </w:rPr>
      </w:pPr>
    </w:p>
    <w:p>
      <w:pPr>
        <w:numPr>
          <w:ilvl w:val="0"/>
          <w:numId w:val="12"/>
        </w:numPr>
        <w:rPr>
          <w:rFonts w:ascii="宋体" w:hAnsi="宋体" w:cs="宋体"/>
          <w:sz w:val="22"/>
        </w:rPr>
      </w:pPr>
      <w:bookmarkStart w:id="139" w:name="_Toc73518137"/>
      <w:bookmarkStart w:id="140" w:name="_Toc100052384"/>
      <w:bookmarkStart w:id="141" w:name="_Toc73517659"/>
      <w:bookmarkStart w:id="142" w:name="_Toc60631640"/>
      <w:bookmarkStart w:id="143" w:name="_Toc73521567"/>
      <w:bookmarkStart w:id="144" w:name="_Toc60560645"/>
      <w:bookmarkStart w:id="145" w:name="_Toc73521655"/>
      <w:r>
        <w:rPr>
          <w:rFonts w:hint="eastAsia" w:ascii="宋体" w:hAnsi="宋体" w:cs="宋体"/>
          <w:sz w:val="22"/>
        </w:rPr>
        <w:t>投标</w:t>
      </w:r>
      <w:bookmarkEnd w:id="139"/>
      <w:bookmarkEnd w:id="140"/>
      <w:bookmarkEnd w:id="141"/>
      <w:bookmarkEnd w:id="142"/>
      <w:bookmarkEnd w:id="143"/>
      <w:bookmarkEnd w:id="144"/>
      <w:bookmarkEnd w:id="145"/>
      <w:r>
        <w:rPr>
          <w:rFonts w:hint="eastAsia" w:ascii="宋体" w:hAnsi="宋体" w:cs="宋体"/>
          <w:sz w:val="22"/>
        </w:rPr>
        <w:t>保证金</w:t>
      </w:r>
    </w:p>
    <w:p>
      <w:pPr>
        <w:numPr>
          <w:ilvl w:val="1"/>
          <w:numId w:val="13"/>
        </w:numPr>
        <w:rPr>
          <w:rFonts w:ascii="宋体" w:hAnsi="宋体" w:cs="宋体"/>
          <w:sz w:val="22"/>
        </w:rPr>
      </w:pPr>
      <w:bookmarkStart w:id="146" w:name="_Toc60560646"/>
      <w:bookmarkStart w:id="147" w:name="_Toc73521568"/>
      <w:bookmarkStart w:id="148" w:name="_Toc73517660"/>
      <w:bookmarkStart w:id="149" w:name="_Toc73518138"/>
      <w:bookmarkStart w:id="150" w:name="_Toc100052385"/>
      <w:bookmarkStart w:id="151" w:name="_Toc73521656"/>
      <w:bookmarkStart w:id="152" w:name="_Toc60631641"/>
      <w:r>
        <w:rPr>
          <w:rFonts w:hint="eastAsia" w:ascii="宋体" w:hAnsi="宋体" w:cs="宋体"/>
          <w:sz w:val="22"/>
        </w:rPr>
        <w:t>投标保证金的缴纳：</w:t>
      </w:r>
    </w:p>
    <w:p>
      <w:pPr>
        <w:numPr>
          <w:ilvl w:val="2"/>
          <w:numId w:val="17"/>
        </w:numPr>
        <w:rPr>
          <w:rFonts w:ascii="宋体" w:hAnsi="宋体" w:cs="宋体"/>
          <w:sz w:val="22"/>
        </w:rPr>
      </w:pPr>
      <w:r>
        <w:rPr>
          <w:rFonts w:hint="eastAsia" w:ascii="宋体" w:hAnsi="宋体" w:cs="宋体"/>
          <w:sz w:val="22"/>
        </w:rPr>
        <w:t>投标保证金应当采用非现金形式交纳。</w:t>
      </w:r>
    </w:p>
    <w:p>
      <w:pPr>
        <w:numPr>
          <w:ilvl w:val="2"/>
          <w:numId w:val="17"/>
        </w:numPr>
        <w:rPr>
          <w:rFonts w:ascii="宋体" w:hAnsi="宋体" w:cs="宋体"/>
          <w:sz w:val="22"/>
        </w:rPr>
      </w:pPr>
      <w:r>
        <w:rPr>
          <w:rFonts w:hint="eastAsia" w:ascii="宋体" w:hAnsi="宋体" w:cs="宋体"/>
          <w:sz w:val="22"/>
        </w:rPr>
        <w:t>若为重大项目，政府采购代理机构可自行决定另外收取投标保证金，不受21.1.1款限制。是否另外收取投标保证金，请见本采购文件专用条款《对通用条款的补充内容》中的相关要求。</w:t>
      </w:r>
    </w:p>
    <w:p>
      <w:pPr>
        <w:numPr>
          <w:ilvl w:val="1"/>
          <w:numId w:val="13"/>
        </w:numPr>
        <w:rPr>
          <w:rFonts w:ascii="宋体" w:hAnsi="宋体" w:cs="宋体"/>
          <w:sz w:val="22"/>
        </w:rPr>
      </w:pPr>
      <w:r>
        <w:rPr>
          <w:rFonts w:hint="eastAsia" w:ascii="宋体" w:hAnsi="宋体" w:cs="宋体"/>
          <w:sz w:val="22"/>
        </w:rPr>
        <w:t>投标保证金是为了保护政府采购代理机构和采购单位免因投标人的行为而蒙受损失。政府采购代理机构和采购单位因投标人的行为受到损害时可根据本通用条款第21.5款的规定没收投标人的投标保证金。</w:t>
      </w:r>
    </w:p>
    <w:p>
      <w:pPr>
        <w:numPr>
          <w:ilvl w:val="1"/>
          <w:numId w:val="13"/>
        </w:numPr>
        <w:rPr>
          <w:rFonts w:ascii="宋体" w:hAnsi="宋体" w:cs="宋体"/>
          <w:sz w:val="22"/>
        </w:rPr>
      </w:pPr>
      <w:r>
        <w:rPr>
          <w:rFonts w:hint="eastAsia" w:ascii="宋体" w:hAnsi="宋体" w:cs="宋体"/>
          <w:sz w:val="22"/>
        </w:rPr>
        <w:t>未中标的投标人的投标保证金，将于中标结果公告后五个工作日内无息退还投标人。</w:t>
      </w:r>
    </w:p>
    <w:p>
      <w:pPr>
        <w:numPr>
          <w:ilvl w:val="1"/>
          <w:numId w:val="13"/>
        </w:numPr>
        <w:rPr>
          <w:rFonts w:ascii="宋体" w:hAnsi="宋体" w:cs="宋体"/>
          <w:sz w:val="22"/>
        </w:rPr>
      </w:pPr>
      <w:r>
        <w:rPr>
          <w:rFonts w:hint="eastAsia" w:ascii="宋体" w:hAnsi="宋体" w:cs="宋体"/>
          <w:sz w:val="22"/>
        </w:rPr>
        <w:t>中标人的投标保证金，在与采购人签订了合同，提交了履约保证金并交纳了招标代理服务费后予以无息退还。</w:t>
      </w:r>
    </w:p>
    <w:p>
      <w:pPr>
        <w:numPr>
          <w:ilvl w:val="1"/>
          <w:numId w:val="13"/>
        </w:numPr>
        <w:rPr>
          <w:rFonts w:ascii="宋体" w:hAnsi="宋体" w:cs="宋体"/>
          <w:sz w:val="22"/>
        </w:rPr>
      </w:pPr>
      <w:r>
        <w:rPr>
          <w:rFonts w:hint="eastAsia" w:ascii="宋体" w:hAnsi="宋体" w:cs="宋体"/>
          <w:sz w:val="22"/>
        </w:rPr>
        <w:t>如下列任何情况发生时，投标保证金将被没收。</w:t>
      </w:r>
    </w:p>
    <w:p>
      <w:pPr>
        <w:numPr>
          <w:ilvl w:val="2"/>
          <w:numId w:val="17"/>
        </w:numPr>
        <w:rPr>
          <w:rFonts w:ascii="宋体" w:hAnsi="宋体" w:cs="宋体"/>
          <w:sz w:val="22"/>
        </w:rPr>
      </w:pPr>
      <w:r>
        <w:rPr>
          <w:rFonts w:hint="eastAsia" w:ascii="宋体" w:hAnsi="宋体" w:cs="宋体"/>
          <w:sz w:val="22"/>
        </w:rPr>
        <w:t>投标人在采购文件中规定的投标有效期内撤回其投标；</w:t>
      </w:r>
    </w:p>
    <w:p>
      <w:pPr>
        <w:numPr>
          <w:ilvl w:val="2"/>
          <w:numId w:val="17"/>
        </w:numPr>
        <w:rPr>
          <w:rFonts w:ascii="宋体" w:hAnsi="宋体" w:cs="宋体"/>
          <w:sz w:val="22"/>
        </w:rPr>
      </w:pPr>
      <w:r>
        <w:rPr>
          <w:rFonts w:hint="eastAsia" w:ascii="宋体" w:hAnsi="宋体" w:cs="宋体"/>
          <w:sz w:val="22"/>
        </w:rPr>
        <w:t>中标人在规定期限内未能根据本项通用条款第47条规定签订合同；</w:t>
      </w:r>
    </w:p>
    <w:p>
      <w:pPr>
        <w:numPr>
          <w:ilvl w:val="2"/>
          <w:numId w:val="17"/>
        </w:numPr>
        <w:rPr>
          <w:rFonts w:ascii="宋体" w:hAnsi="宋体" w:cs="宋体"/>
          <w:sz w:val="22"/>
        </w:rPr>
      </w:pPr>
      <w:r>
        <w:rPr>
          <w:rFonts w:hint="eastAsia" w:ascii="宋体" w:hAnsi="宋体" w:cs="宋体"/>
          <w:sz w:val="22"/>
        </w:rPr>
        <w:t>投标人提供虚假投标文件或虚假补充文件：</w:t>
      </w:r>
    </w:p>
    <w:p>
      <w:pPr>
        <w:numPr>
          <w:ilvl w:val="2"/>
          <w:numId w:val="17"/>
        </w:numPr>
        <w:rPr>
          <w:rFonts w:ascii="宋体" w:hAnsi="宋体" w:cs="宋体"/>
          <w:sz w:val="22"/>
        </w:rPr>
      </w:pPr>
      <w:r>
        <w:rPr>
          <w:rFonts w:hint="eastAsia" w:ascii="宋体" w:hAnsi="宋体" w:cs="宋体"/>
          <w:sz w:val="22"/>
        </w:rPr>
        <w:t>投标人以谋取中标为目的的技术规格模糊响应（如有意照搬照抄采购文件的技术要求）或虚假响应的；</w:t>
      </w:r>
    </w:p>
    <w:p>
      <w:pPr>
        <w:numPr>
          <w:ilvl w:val="2"/>
          <w:numId w:val="17"/>
        </w:numPr>
        <w:rPr>
          <w:rFonts w:ascii="宋体" w:hAnsi="宋体" w:cs="宋体"/>
          <w:sz w:val="22"/>
        </w:rPr>
      </w:pPr>
      <w:r>
        <w:rPr>
          <w:rFonts w:hint="eastAsia" w:ascii="宋体" w:hAnsi="宋体" w:cs="宋体"/>
          <w:sz w:val="22"/>
        </w:rPr>
        <w:t>投标人质疑投诉提供虚假情况。</w:t>
      </w:r>
    </w:p>
    <w:p>
      <w:pPr>
        <w:numPr>
          <w:ilvl w:val="1"/>
          <w:numId w:val="13"/>
        </w:numPr>
        <w:rPr>
          <w:rFonts w:ascii="宋体" w:hAnsi="宋体" w:cs="宋体"/>
          <w:sz w:val="22"/>
        </w:rPr>
      </w:pPr>
      <w:r>
        <w:rPr>
          <w:rFonts w:hint="eastAsia" w:ascii="宋体" w:hAnsi="宋体" w:cs="宋体"/>
          <w:sz w:val="22"/>
        </w:rPr>
        <w:t>投标保证金账户信息：</w:t>
      </w:r>
    </w:p>
    <w:p>
      <w:pPr>
        <w:spacing w:line="360" w:lineRule="exact"/>
        <w:ind w:firstLine="883" w:firstLineChars="400"/>
        <w:jc w:val="left"/>
        <w:rPr>
          <w:rFonts w:ascii="宋体" w:hAnsi="宋体" w:cs="宋体"/>
          <w:b/>
          <w:bCs/>
          <w:sz w:val="22"/>
          <w:highlight w:val="none"/>
        </w:rPr>
      </w:pPr>
      <w:r>
        <w:rPr>
          <w:rFonts w:hint="eastAsia" w:ascii="宋体" w:hAnsi="宋体" w:cs="宋体"/>
          <w:b/>
          <w:bCs/>
          <w:sz w:val="22"/>
          <w:highlight w:val="none"/>
        </w:rPr>
        <w:t>开户行：中行黄木岗支行</w:t>
      </w:r>
    </w:p>
    <w:p>
      <w:pPr>
        <w:spacing w:line="360" w:lineRule="exact"/>
        <w:ind w:firstLine="883" w:firstLineChars="400"/>
        <w:jc w:val="left"/>
        <w:rPr>
          <w:rFonts w:ascii="宋体" w:hAnsi="宋体" w:cs="宋体"/>
          <w:b/>
          <w:bCs/>
          <w:sz w:val="22"/>
          <w:highlight w:val="none"/>
        </w:rPr>
      </w:pPr>
      <w:r>
        <w:rPr>
          <w:rFonts w:hint="eastAsia" w:ascii="宋体" w:hAnsi="宋体" w:cs="宋体"/>
          <w:b/>
          <w:bCs/>
          <w:sz w:val="22"/>
          <w:highlight w:val="none"/>
        </w:rPr>
        <w:t>户名：深圳市第二人民医院</w:t>
      </w:r>
    </w:p>
    <w:p>
      <w:pPr>
        <w:spacing w:line="360" w:lineRule="exact"/>
        <w:ind w:firstLine="883" w:firstLineChars="400"/>
        <w:jc w:val="left"/>
        <w:rPr>
          <w:rFonts w:ascii="宋体" w:hAnsi="宋体" w:cs="宋体"/>
          <w:b/>
          <w:bCs/>
          <w:sz w:val="22"/>
        </w:rPr>
      </w:pPr>
      <w:r>
        <w:rPr>
          <w:rFonts w:hint="eastAsia" w:ascii="宋体" w:hAnsi="宋体" w:cs="宋体"/>
          <w:b/>
          <w:bCs/>
          <w:sz w:val="22"/>
          <w:highlight w:val="none"/>
        </w:rPr>
        <w:t>账号：761457953886</w:t>
      </w:r>
      <w:r>
        <w:rPr>
          <w:rFonts w:hint="eastAsia" w:ascii="宋体" w:hAnsi="宋体" w:cs="宋体"/>
          <w:b/>
          <w:bCs/>
          <w:sz w:val="22"/>
        </w:rPr>
        <w:t xml:space="preserve"> </w:t>
      </w:r>
    </w:p>
    <w:p>
      <w:pPr>
        <w:ind w:left="907"/>
        <w:rPr>
          <w:rFonts w:ascii="宋体" w:hAnsi="宋体" w:cs="宋体"/>
          <w:b/>
          <w:sz w:val="22"/>
        </w:rPr>
      </w:pPr>
    </w:p>
    <w:p>
      <w:pPr>
        <w:numPr>
          <w:ilvl w:val="0"/>
          <w:numId w:val="12"/>
        </w:numPr>
        <w:rPr>
          <w:rFonts w:ascii="宋体" w:hAnsi="宋体" w:cs="宋体"/>
          <w:sz w:val="22"/>
        </w:rPr>
      </w:pPr>
      <w:r>
        <w:rPr>
          <w:rFonts w:hint="eastAsia" w:ascii="宋体" w:hAnsi="宋体" w:cs="宋体"/>
          <w:sz w:val="22"/>
        </w:rPr>
        <w:t>投标人的替代方案</w:t>
      </w:r>
      <w:bookmarkEnd w:id="146"/>
      <w:bookmarkEnd w:id="147"/>
      <w:bookmarkEnd w:id="148"/>
      <w:bookmarkEnd w:id="149"/>
      <w:bookmarkEnd w:id="150"/>
      <w:bookmarkEnd w:id="151"/>
      <w:bookmarkEnd w:id="152"/>
    </w:p>
    <w:p>
      <w:pPr>
        <w:numPr>
          <w:ilvl w:val="1"/>
          <w:numId w:val="13"/>
        </w:numPr>
        <w:rPr>
          <w:rFonts w:ascii="宋体" w:hAnsi="宋体" w:cs="宋体"/>
          <w:sz w:val="22"/>
        </w:rPr>
      </w:pPr>
      <w:r>
        <w:rPr>
          <w:rFonts w:hint="eastAsia" w:ascii="宋体" w:hAnsi="宋体" w:cs="宋体"/>
          <w:sz w:val="22"/>
        </w:rPr>
        <w:t>投标人所提交的投标文件应完全满足采购文件（包括图纸和技术规范所示的基本技术设计）的要求。除非招标的项目明确允许投标人提交替代方案，否则投标人有关替代方案的条款将不予考虑。</w:t>
      </w:r>
    </w:p>
    <w:p>
      <w:pPr>
        <w:numPr>
          <w:ilvl w:val="1"/>
          <w:numId w:val="13"/>
        </w:numPr>
        <w:rPr>
          <w:rFonts w:ascii="宋体" w:hAnsi="宋体" w:cs="宋体"/>
          <w:sz w:val="22"/>
        </w:rPr>
      </w:pPr>
      <w:r>
        <w:rPr>
          <w:rFonts w:hint="eastAsia" w:ascii="宋体" w:hAnsi="宋体" w:cs="宋体"/>
          <w:sz w:val="22"/>
        </w:rPr>
        <w:t>如果允许投标人提交替代方案，则准备提交替代方案的投标人除应提交一份满足采购文件（包括图纸和技术规范所示的基本技术设计）要求的投标文件外，还应提交需评审其替代方案所需的全部资料，包括项目方案书、技术规范、替代方案报价书、所建议的项目方案及有关的其它详细资料。</w:t>
      </w:r>
    </w:p>
    <w:p>
      <w:pPr>
        <w:ind w:left="907"/>
        <w:rPr>
          <w:rFonts w:ascii="宋体" w:hAnsi="宋体" w:cs="宋体"/>
          <w:sz w:val="22"/>
        </w:rPr>
      </w:pPr>
    </w:p>
    <w:p>
      <w:pPr>
        <w:numPr>
          <w:ilvl w:val="0"/>
          <w:numId w:val="12"/>
        </w:numPr>
        <w:rPr>
          <w:rFonts w:ascii="宋体" w:hAnsi="宋体" w:cs="宋体"/>
          <w:sz w:val="22"/>
        </w:rPr>
      </w:pPr>
      <w:bookmarkStart w:id="153" w:name="_Toc73518139"/>
      <w:bookmarkStart w:id="154" w:name="_Toc73517661"/>
      <w:bookmarkStart w:id="155" w:name="_Toc73521657"/>
      <w:bookmarkStart w:id="156" w:name="_Toc100052386"/>
      <w:bookmarkStart w:id="157" w:name="_Toc73521569"/>
      <w:r>
        <w:rPr>
          <w:rFonts w:hint="eastAsia" w:ascii="宋体" w:hAnsi="宋体" w:cs="宋体"/>
          <w:sz w:val="22"/>
        </w:rPr>
        <w:t>投标文件的制作要求</w:t>
      </w:r>
      <w:bookmarkEnd w:id="153"/>
      <w:bookmarkEnd w:id="154"/>
      <w:bookmarkEnd w:id="155"/>
      <w:bookmarkEnd w:id="156"/>
      <w:bookmarkEnd w:id="157"/>
    </w:p>
    <w:p>
      <w:pPr>
        <w:numPr>
          <w:ilvl w:val="1"/>
          <w:numId w:val="13"/>
        </w:numPr>
        <w:rPr>
          <w:rFonts w:ascii="宋体" w:hAnsi="宋体" w:cs="宋体"/>
          <w:sz w:val="22"/>
        </w:rPr>
      </w:pPr>
      <w:r>
        <w:rPr>
          <w:rFonts w:hint="eastAsia" w:ascii="宋体" w:hAnsi="宋体" w:cs="宋体"/>
          <w:sz w:val="22"/>
        </w:rPr>
        <w:t>投标人按照关键信息中要求的份数制作纸质投标文件及投标文件的电子文档。</w:t>
      </w:r>
    </w:p>
    <w:p>
      <w:pPr>
        <w:numPr>
          <w:ilvl w:val="1"/>
          <w:numId w:val="13"/>
        </w:numPr>
        <w:rPr>
          <w:rFonts w:ascii="宋体" w:hAnsi="宋体" w:cs="宋体"/>
          <w:sz w:val="22"/>
        </w:rPr>
      </w:pPr>
      <w:r>
        <w:rPr>
          <w:rFonts w:hint="eastAsia" w:ascii="宋体" w:hAnsi="宋体" w:cs="宋体"/>
          <w:sz w:val="22"/>
        </w:rPr>
        <w:t>投标人按照采购文件提供的投标文件格式模板及要求编制投标文件。</w:t>
      </w:r>
    </w:p>
    <w:p>
      <w:pPr>
        <w:numPr>
          <w:ilvl w:val="1"/>
          <w:numId w:val="13"/>
        </w:numPr>
        <w:rPr>
          <w:rFonts w:ascii="宋体" w:hAnsi="宋体" w:cs="宋体"/>
          <w:sz w:val="22"/>
        </w:rPr>
      </w:pPr>
      <w:r>
        <w:rPr>
          <w:rFonts w:hint="eastAsia" w:ascii="宋体" w:hAnsi="宋体" w:cs="宋体"/>
          <w:sz w:val="22"/>
        </w:rPr>
        <w:t>投标人在利用投标文件格式模板编制投标书时须注意：</w:t>
      </w:r>
    </w:p>
    <w:p>
      <w:pPr>
        <w:numPr>
          <w:ilvl w:val="2"/>
          <w:numId w:val="17"/>
        </w:numPr>
        <w:rPr>
          <w:rFonts w:ascii="宋体" w:hAnsi="宋体" w:cs="宋体"/>
          <w:sz w:val="22"/>
        </w:rPr>
      </w:pPr>
      <w:r>
        <w:rPr>
          <w:rFonts w:hint="eastAsia" w:ascii="宋体" w:hAnsi="宋体" w:cs="宋体"/>
          <w:sz w:val="22"/>
        </w:rPr>
        <w:t>除模板要求填写或添加的内容外，不得对其他文字内容做任何改动。如果因操作失误而改动的，以模板中的文字叙述为准。</w:t>
      </w:r>
    </w:p>
    <w:p>
      <w:pPr>
        <w:numPr>
          <w:ilvl w:val="2"/>
          <w:numId w:val="17"/>
        </w:numPr>
        <w:rPr>
          <w:rFonts w:ascii="宋体" w:hAnsi="宋体" w:cs="宋体"/>
          <w:sz w:val="22"/>
        </w:rPr>
      </w:pPr>
      <w:r>
        <w:rPr>
          <w:rFonts w:hint="eastAsia" w:ascii="宋体" w:hAnsi="宋体" w:cs="宋体"/>
          <w:sz w:val="22"/>
        </w:rPr>
        <w:t>采购文件的编号、包号应与根据此招标制作的投标文件项目编号、包号一致。</w:t>
      </w:r>
      <w:bookmarkStart w:id="158" w:name="_Toc73518140"/>
      <w:bookmarkStart w:id="159" w:name="_Toc73521570"/>
      <w:bookmarkStart w:id="160" w:name="_Toc73521658"/>
      <w:bookmarkStart w:id="161" w:name="_Toc100052387"/>
      <w:bookmarkStart w:id="162" w:name="_Toc101074880"/>
      <w:bookmarkStart w:id="163" w:name="_Toc73517662"/>
    </w:p>
    <w:p/>
    <w:p>
      <w:r>
        <w:br w:type="page"/>
      </w:r>
    </w:p>
    <w:p/>
    <w:p/>
    <w:p/>
    <w:p/>
    <w:p/>
    <w:p/>
    <w:p/>
    <w:p/>
    <w:p/>
    <w:p/>
    <w:p/>
    <w:p/>
    <w:p/>
    <w:p/>
    <w:p/>
    <w:p>
      <w:pPr>
        <w:pStyle w:val="5"/>
        <w:rPr>
          <w:b w:val="0"/>
          <w:szCs w:val="28"/>
        </w:rPr>
      </w:pPr>
      <w:r>
        <w:rPr>
          <w:b w:val="0"/>
          <w:bCs/>
          <w:kern w:val="28"/>
          <w:sz w:val="44"/>
          <w:szCs w:val="44"/>
        </w:rPr>
        <w:t>第四章  投标文件的递交</w:t>
      </w:r>
      <w:r>
        <w:rPr>
          <w:b w:val="0"/>
          <w:bCs/>
          <w:kern w:val="28"/>
          <w:sz w:val="44"/>
          <w:szCs w:val="44"/>
        </w:rPr>
        <w:br w:type="page"/>
      </w:r>
      <w:bookmarkEnd w:id="158"/>
      <w:bookmarkEnd w:id="159"/>
      <w:bookmarkEnd w:id="160"/>
      <w:bookmarkEnd w:id="161"/>
      <w:bookmarkEnd w:id="162"/>
      <w:bookmarkEnd w:id="163"/>
    </w:p>
    <w:p/>
    <w:p>
      <w:pPr>
        <w:numPr>
          <w:ilvl w:val="0"/>
          <w:numId w:val="12"/>
        </w:numPr>
        <w:ind w:left="950" w:hanging="950" w:hangingChars="432"/>
        <w:rPr>
          <w:rFonts w:ascii="宋体" w:hAnsi="宋体" w:cs="宋体"/>
          <w:sz w:val="22"/>
        </w:rPr>
      </w:pPr>
      <w:bookmarkStart w:id="164" w:name="_Toc73521571"/>
      <w:bookmarkStart w:id="165" w:name="_Toc73517663"/>
      <w:bookmarkStart w:id="166" w:name="_Toc73518141"/>
      <w:bookmarkStart w:id="167" w:name="_Toc60560649"/>
      <w:bookmarkStart w:id="168" w:name="_Toc100052388"/>
      <w:bookmarkStart w:id="169" w:name="_Toc73521659"/>
      <w:bookmarkStart w:id="170" w:name="_Toc60631644"/>
      <w:r>
        <w:rPr>
          <w:rFonts w:hint="eastAsia" w:ascii="宋体" w:hAnsi="宋体" w:cs="宋体"/>
          <w:sz w:val="22"/>
        </w:rPr>
        <w:t>投标文件密封和标记</w:t>
      </w:r>
    </w:p>
    <w:p>
      <w:pPr>
        <w:numPr>
          <w:ilvl w:val="1"/>
          <w:numId w:val="13"/>
        </w:numPr>
        <w:ind w:left="954" w:hanging="954" w:hangingChars="432"/>
        <w:rPr>
          <w:rFonts w:ascii="宋体" w:hAnsi="宋体" w:cs="宋体"/>
          <w:b/>
          <w:bCs/>
          <w:sz w:val="22"/>
        </w:rPr>
      </w:pPr>
      <w:r>
        <w:rPr>
          <w:rFonts w:hint="eastAsia" w:ascii="宋体" w:hAnsi="宋体" w:cs="宋体"/>
          <w:b/>
          <w:bCs/>
          <w:sz w:val="22"/>
        </w:rPr>
        <w:t>投标文件正本和副本、附有投标文件电子文档的U盘，并标明项目编号、包号（如分包的话）、项目名称及“正本”或“副本”，开标一览表和投标文件（含正本和副本）应分开独立密封包装。</w:t>
      </w:r>
    </w:p>
    <w:p>
      <w:pPr>
        <w:numPr>
          <w:ilvl w:val="1"/>
          <w:numId w:val="13"/>
        </w:numPr>
        <w:ind w:left="954" w:hanging="954" w:hangingChars="432"/>
        <w:rPr>
          <w:rFonts w:ascii="宋体" w:hAnsi="宋体" w:cs="宋体"/>
          <w:b/>
          <w:bCs/>
          <w:sz w:val="22"/>
        </w:rPr>
      </w:pPr>
      <w:r>
        <w:rPr>
          <w:rFonts w:hint="eastAsia" w:ascii="宋体" w:hAnsi="宋体" w:cs="宋体"/>
          <w:b/>
          <w:bCs/>
          <w:sz w:val="22"/>
        </w:rPr>
        <w:t>投标人应将开标一览表和授权委托书单独密封提交，并在信封上标明“开标文件”字样。投标人的法定代表人参加投标时，须开具法定代表人证明书。</w:t>
      </w:r>
    </w:p>
    <w:p>
      <w:pPr>
        <w:numPr>
          <w:ilvl w:val="1"/>
          <w:numId w:val="13"/>
        </w:numPr>
        <w:ind w:left="954" w:hanging="954" w:hangingChars="432"/>
        <w:rPr>
          <w:rFonts w:ascii="宋体" w:hAnsi="宋体" w:cs="宋体"/>
          <w:b/>
          <w:bCs/>
          <w:sz w:val="22"/>
        </w:rPr>
      </w:pPr>
      <w:r>
        <w:rPr>
          <w:rFonts w:hint="eastAsia" w:ascii="宋体" w:hAnsi="宋体" w:cs="宋体"/>
          <w:b/>
          <w:bCs/>
          <w:sz w:val="22"/>
        </w:rPr>
        <w:t>密封包装上注明“在（开标日期、时间）前不得启封”的字样。</w:t>
      </w:r>
    </w:p>
    <w:p>
      <w:pPr>
        <w:ind w:left="907"/>
        <w:rPr>
          <w:rFonts w:ascii="宋体" w:hAnsi="宋体" w:cs="宋体"/>
          <w:sz w:val="22"/>
        </w:rPr>
      </w:pPr>
    </w:p>
    <w:p>
      <w:pPr>
        <w:numPr>
          <w:ilvl w:val="0"/>
          <w:numId w:val="12"/>
        </w:numPr>
        <w:ind w:left="950" w:hanging="950" w:hangingChars="432"/>
        <w:rPr>
          <w:rFonts w:ascii="宋体" w:hAnsi="宋体" w:cs="宋体"/>
          <w:sz w:val="22"/>
        </w:rPr>
      </w:pPr>
      <w:r>
        <w:rPr>
          <w:rFonts w:hint="eastAsia" w:ascii="宋体" w:hAnsi="宋体" w:cs="宋体"/>
          <w:sz w:val="22"/>
        </w:rPr>
        <w:t>投标截止日期</w:t>
      </w:r>
    </w:p>
    <w:p>
      <w:pPr>
        <w:numPr>
          <w:ilvl w:val="1"/>
          <w:numId w:val="13"/>
        </w:numPr>
        <w:ind w:left="950" w:hanging="950" w:hangingChars="432"/>
        <w:rPr>
          <w:rFonts w:ascii="宋体" w:hAnsi="宋体" w:cs="宋体"/>
          <w:sz w:val="22"/>
        </w:rPr>
      </w:pPr>
      <w:r>
        <w:rPr>
          <w:rFonts w:hint="eastAsia" w:ascii="宋体" w:hAnsi="宋体" w:cs="宋体"/>
          <w:sz w:val="22"/>
        </w:rPr>
        <w:t>投标人应在不迟于采购公告规定的截止日期和时间将投标文件递交至采购代理机构。</w:t>
      </w:r>
    </w:p>
    <w:p>
      <w:pPr>
        <w:numPr>
          <w:ilvl w:val="1"/>
          <w:numId w:val="13"/>
        </w:numPr>
        <w:ind w:left="950" w:hanging="950" w:hangingChars="432"/>
        <w:rPr>
          <w:rFonts w:ascii="宋体" w:hAnsi="宋体" w:cs="宋体"/>
          <w:sz w:val="22"/>
        </w:rPr>
      </w:pPr>
      <w:r>
        <w:rPr>
          <w:rFonts w:hint="eastAsia" w:ascii="宋体" w:hAnsi="宋体" w:cs="宋体"/>
          <w:sz w:val="22"/>
        </w:rPr>
        <w:t>采购代理机构可以通过修改采购文件自行决定酌情推迟投标截止期，在此情况下，采购代理机构、采购人和投标人受投标截止期制约的所有权利和义务均应延长至新的截止期。</w:t>
      </w:r>
    </w:p>
    <w:p>
      <w:pPr>
        <w:ind w:left="907"/>
        <w:rPr>
          <w:rFonts w:ascii="宋体" w:hAnsi="宋体" w:cs="宋体"/>
          <w:sz w:val="22"/>
        </w:rPr>
      </w:pPr>
    </w:p>
    <w:p>
      <w:pPr>
        <w:numPr>
          <w:ilvl w:val="0"/>
          <w:numId w:val="12"/>
        </w:numPr>
        <w:ind w:left="950" w:hanging="950" w:hangingChars="432"/>
        <w:rPr>
          <w:rFonts w:ascii="宋体" w:hAnsi="宋体" w:cs="宋体"/>
          <w:sz w:val="22"/>
        </w:rPr>
      </w:pPr>
      <w:r>
        <w:rPr>
          <w:rFonts w:hint="eastAsia" w:ascii="宋体" w:hAnsi="宋体" w:cs="宋体"/>
          <w:sz w:val="22"/>
        </w:rPr>
        <w:t>样品的递交</w:t>
      </w:r>
    </w:p>
    <w:p>
      <w:pPr>
        <w:numPr>
          <w:ilvl w:val="1"/>
          <w:numId w:val="13"/>
        </w:numPr>
        <w:ind w:left="950" w:hanging="950" w:hangingChars="432"/>
        <w:rPr>
          <w:rFonts w:ascii="宋体" w:hAnsi="宋体" w:cs="宋体"/>
          <w:sz w:val="22"/>
        </w:rPr>
      </w:pPr>
      <w:r>
        <w:rPr>
          <w:rFonts w:hint="eastAsia" w:ascii="宋体" w:hAnsi="宋体" w:cs="宋体"/>
          <w:sz w:val="22"/>
        </w:rPr>
        <w:t>如有必要，采购单位可以要求投标人提供样品。</w:t>
      </w:r>
    </w:p>
    <w:p>
      <w:pPr>
        <w:numPr>
          <w:ilvl w:val="1"/>
          <w:numId w:val="13"/>
        </w:numPr>
        <w:ind w:left="950" w:hanging="950" w:hangingChars="432"/>
        <w:rPr>
          <w:rFonts w:ascii="宋体" w:hAnsi="宋体" w:cs="宋体"/>
          <w:sz w:val="22"/>
        </w:rPr>
      </w:pPr>
      <w:r>
        <w:rPr>
          <w:rFonts w:hint="eastAsia" w:ascii="宋体" w:hAnsi="宋体" w:cs="宋体"/>
          <w:sz w:val="22"/>
        </w:rPr>
        <w:t>未中标供应商的样品将于招标结束后退还。中标供应商的样品由采购单位保留，作为验收的依据。</w:t>
      </w:r>
    </w:p>
    <w:p>
      <w:pPr>
        <w:ind w:left="907"/>
        <w:rPr>
          <w:rFonts w:ascii="宋体" w:hAnsi="宋体" w:cs="宋体"/>
          <w:sz w:val="22"/>
        </w:rPr>
      </w:pPr>
    </w:p>
    <w:p>
      <w:pPr>
        <w:numPr>
          <w:ilvl w:val="0"/>
          <w:numId w:val="12"/>
        </w:numPr>
        <w:ind w:left="950" w:hanging="950" w:hangingChars="432"/>
        <w:rPr>
          <w:rFonts w:ascii="宋体" w:hAnsi="宋体" w:cs="宋体"/>
          <w:sz w:val="22"/>
        </w:rPr>
      </w:pPr>
      <w:r>
        <w:rPr>
          <w:rFonts w:hint="eastAsia" w:ascii="宋体" w:hAnsi="宋体" w:cs="宋体"/>
          <w:sz w:val="22"/>
        </w:rPr>
        <w:t>投标文件的修改和撤销</w:t>
      </w:r>
    </w:p>
    <w:p>
      <w:pPr>
        <w:numPr>
          <w:ilvl w:val="1"/>
          <w:numId w:val="13"/>
        </w:numPr>
        <w:ind w:left="950" w:hanging="950" w:hangingChars="432"/>
        <w:rPr>
          <w:rFonts w:ascii="宋体" w:hAnsi="宋体" w:cs="宋体"/>
          <w:sz w:val="22"/>
        </w:rPr>
      </w:pPr>
      <w:r>
        <w:rPr>
          <w:rFonts w:hint="eastAsia" w:ascii="宋体" w:hAnsi="宋体" w:cs="宋体"/>
          <w:sz w:val="22"/>
        </w:rPr>
        <w:t>投标方在提交投标文件后可对其投标文件进行修改并重新提交投标文件或撤销投标。</w:t>
      </w:r>
    </w:p>
    <w:p>
      <w:pPr>
        <w:numPr>
          <w:ilvl w:val="1"/>
          <w:numId w:val="13"/>
        </w:numPr>
        <w:ind w:left="950" w:hanging="950" w:hangingChars="432"/>
        <w:rPr>
          <w:rFonts w:ascii="宋体" w:hAnsi="宋体" w:cs="宋体"/>
          <w:sz w:val="22"/>
        </w:rPr>
      </w:pPr>
      <w:r>
        <w:rPr>
          <w:rFonts w:hint="eastAsia" w:ascii="宋体" w:hAnsi="宋体" w:cs="宋体"/>
          <w:sz w:val="22"/>
        </w:rPr>
        <w:t>投标截止时间以后不得修改投标文件。</w:t>
      </w:r>
    </w:p>
    <w:p>
      <w:pPr>
        <w:numPr>
          <w:ilvl w:val="1"/>
          <w:numId w:val="13"/>
        </w:numPr>
        <w:ind w:left="950" w:hanging="950" w:hangingChars="432"/>
        <w:rPr>
          <w:rFonts w:ascii="宋体" w:hAnsi="宋体" w:cs="宋体"/>
          <w:sz w:val="22"/>
        </w:rPr>
      </w:pPr>
      <w:r>
        <w:rPr>
          <w:rFonts w:hint="eastAsia" w:ascii="宋体" w:hAnsi="宋体" w:cs="宋体"/>
          <w:sz w:val="22"/>
        </w:rPr>
        <w:t>从投标截止期至投标人在投标书中确定的投标有效期之间的这段时间内，投标人不得撤回其投标，否则其投标保证金将按照本通用条款的规定被没收。</w:t>
      </w:r>
    </w:p>
    <w:bookmarkEnd w:id="164"/>
    <w:bookmarkEnd w:id="165"/>
    <w:bookmarkEnd w:id="166"/>
    <w:bookmarkEnd w:id="167"/>
    <w:bookmarkEnd w:id="168"/>
    <w:bookmarkEnd w:id="169"/>
    <w:bookmarkEnd w:id="170"/>
    <w:p>
      <w:pPr>
        <w:numPr>
          <w:ilvl w:val="1"/>
          <w:numId w:val="13"/>
        </w:numPr>
        <w:ind w:left="950" w:hanging="950" w:hangingChars="432"/>
        <w:rPr>
          <w:rFonts w:ascii="宋体" w:hAnsi="宋体" w:cs="宋体"/>
          <w:sz w:val="22"/>
        </w:rPr>
      </w:pPr>
      <w:r>
        <w:rPr>
          <w:rFonts w:hint="eastAsia" w:ascii="宋体" w:hAnsi="宋体" w:cs="宋体"/>
          <w:sz w:val="22"/>
        </w:rPr>
        <w:t>政府采购代理机构不退还投标文件，另有规定的除外。</w:t>
      </w:r>
      <w:bookmarkStart w:id="171" w:name="_Toc73521662"/>
      <w:bookmarkStart w:id="172" w:name="_Toc73518144"/>
      <w:bookmarkStart w:id="173" w:name="_Toc101074881"/>
      <w:bookmarkStart w:id="174" w:name="_Toc100052391"/>
      <w:bookmarkStart w:id="175" w:name="_Toc73521574"/>
      <w:bookmarkStart w:id="176" w:name="_Toc73517666"/>
    </w:p>
    <w:p/>
    <w:p>
      <w:r>
        <w:br w:type="page"/>
      </w:r>
    </w:p>
    <w:p/>
    <w:p/>
    <w:p/>
    <w:p/>
    <w:p/>
    <w:p/>
    <w:p/>
    <w:p/>
    <w:p/>
    <w:p/>
    <w:p/>
    <w:p/>
    <w:p/>
    <w:p/>
    <w:p>
      <w:pPr>
        <w:pStyle w:val="5"/>
        <w:rPr>
          <w:szCs w:val="28"/>
        </w:rPr>
      </w:pPr>
      <w:r>
        <w:rPr>
          <w:b w:val="0"/>
          <w:bCs/>
          <w:kern w:val="28"/>
          <w:sz w:val="44"/>
          <w:szCs w:val="44"/>
        </w:rPr>
        <w:t>第五章  开标</w:t>
      </w:r>
      <w:r>
        <w:rPr>
          <w:b w:val="0"/>
          <w:bCs/>
          <w:kern w:val="28"/>
          <w:sz w:val="44"/>
          <w:szCs w:val="44"/>
        </w:rPr>
        <w:br w:type="page"/>
      </w:r>
      <w:bookmarkEnd w:id="171"/>
      <w:bookmarkEnd w:id="172"/>
      <w:bookmarkEnd w:id="173"/>
      <w:bookmarkEnd w:id="174"/>
      <w:bookmarkEnd w:id="175"/>
      <w:bookmarkEnd w:id="176"/>
    </w:p>
    <w:p/>
    <w:p>
      <w:pPr>
        <w:numPr>
          <w:ilvl w:val="0"/>
          <w:numId w:val="12"/>
        </w:numPr>
        <w:ind w:left="950" w:hanging="950" w:hangingChars="432"/>
        <w:rPr>
          <w:rFonts w:ascii="宋体" w:hAnsi="宋体" w:cs="宋体"/>
          <w:sz w:val="22"/>
        </w:rPr>
      </w:pPr>
      <w:bookmarkStart w:id="177" w:name="_Toc73517667"/>
      <w:bookmarkStart w:id="178" w:name="_Toc60631650"/>
      <w:bookmarkStart w:id="179" w:name="_Toc73521663"/>
      <w:bookmarkStart w:id="180" w:name="_Toc60560655"/>
      <w:bookmarkStart w:id="181" w:name="_Toc100052392"/>
      <w:bookmarkStart w:id="182" w:name="_Toc73518145"/>
      <w:bookmarkStart w:id="183" w:name="_Toc73521575"/>
      <w:r>
        <w:rPr>
          <w:rFonts w:hint="eastAsia" w:ascii="宋体" w:hAnsi="宋体" w:cs="宋体"/>
          <w:sz w:val="22"/>
        </w:rPr>
        <w:t>开标</w:t>
      </w:r>
      <w:bookmarkEnd w:id="177"/>
      <w:bookmarkEnd w:id="178"/>
      <w:bookmarkEnd w:id="179"/>
      <w:bookmarkEnd w:id="180"/>
      <w:bookmarkEnd w:id="181"/>
      <w:bookmarkEnd w:id="182"/>
      <w:bookmarkEnd w:id="183"/>
    </w:p>
    <w:p>
      <w:pPr>
        <w:numPr>
          <w:ilvl w:val="1"/>
          <w:numId w:val="13"/>
        </w:numPr>
        <w:ind w:left="950" w:hanging="950" w:hangingChars="432"/>
        <w:rPr>
          <w:rFonts w:ascii="宋体" w:hAnsi="宋体" w:cs="宋体"/>
          <w:sz w:val="22"/>
        </w:rPr>
      </w:pPr>
      <w:bookmarkStart w:id="184" w:name="bt评标"/>
      <w:bookmarkEnd w:id="184"/>
      <w:bookmarkStart w:id="185" w:name="_Toc101074882"/>
      <w:bookmarkStart w:id="186" w:name="_Toc73518146"/>
      <w:bookmarkStart w:id="187" w:name="_Toc73521664"/>
      <w:bookmarkStart w:id="188" w:name="_Toc100052393"/>
      <w:bookmarkStart w:id="189" w:name="_Toc73521576"/>
      <w:bookmarkStart w:id="190" w:name="_Toc73517668"/>
      <w:r>
        <w:rPr>
          <w:rFonts w:hint="eastAsia" w:ascii="宋体" w:hAnsi="宋体" w:cs="宋体"/>
          <w:sz w:val="22"/>
          <w:lang w:val="en-US" w:eastAsia="zh-CN"/>
        </w:rPr>
        <w:t>深圳市第二人民医院或</w:t>
      </w:r>
      <w:r>
        <w:rPr>
          <w:rFonts w:hint="eastAsia" w:ascii="宋体" w:hAnsi="宋体" w:cs="宋体"/>
          <w:sz w:val="22"/>
        </w:rPr>
        <w:t>政府采购代理机构按采购公告规定的日期、时间和地点组织公开开标。投标人应派代表参加，参加开标的投标人代表签名报到以证明其出席。</w:t>
      </w:r>
    </w:p>
    <w:p>
      <w:pPr>
        <w:numPr>
          <w:ilvl w:val="1"/>
          <w:numId w:val="13"/>
        </w:numPr>
        <w:ind w:left="950" w:hanging="950" w:hangingChars="432"/>
        <w:rPr>
          <w:rFonts w:ascii="宋体" w:hAnsi="宋体" w:cs="宋体"/>
          <w:sz w:val="22"/>
        </w:rPr>
      </w:pPr>
      <w:r>
        <w:rPr>
          <w:rFonts w:hint="eastAsia" w:ascii="宋体" w:hAnsi="宋体" w:cs="宋体"/>
          <w:sz w:val="22"/>
        </w:rPr>
        <w:t>开标时，采购代理机构当众宣读投标人名称、修改和撤回的通知、开标一览表的内容。</w:t>
      </w:r>
    </w:p>
    <w:p>
      <w:pPr>
        <w:numPr>
          <w:ilvl w:val="1"/>
          <w:numId w:val="13"/>
        </w:numPr>
        <w:ind w:left="950" w:hanging="950" w:hangingChars="432"/>
        <w:rPr>
          <w:rFonts w:ascii="宋体" w:hAnsi="宋体" w:cs="宋体"/>
          <w:sz w:val="22"/>
        </w:rPr>
      </w:pPr>
      <w:r>
        <w:rPr>
          <w:rFonts w:hint="eastAsia" w:ascii="宋体" w:hAnsi="宋体" w:cs="宋体"/>
          <w:sz w:val="22"/>
        </w:rPr>
        <w:t>除了按照规定原封退回迟到的投标之外，开标时不得拒绝任何已报名购买采购文件的投标人的投标。</w:t>
      </w:r>
    </w:p>
    <w:p>
      <w:pPr>
        <w:numPr>
          <w:ilvl w:val="1"/>
          <w:numId w:val="13"/>
        </w:numPr>
        <w:ind w:left="950" w:hanging="950" w:hangingChars="432"/>
        <w:rPr>
          <w:rFonts w:ascii="宋体" w:hAnsi="宋体" w:cs="宋体"/>
          <w:sz w:val="22"/>
        </w:rPr>
      </w:pPr>
      <w:r>
        <w:rPr>
          <w:rFonts w:hint="eastAsia" w:ascii="宋体" w:hAnsi="宋体" w:cs="宋体"/>
          <w:sz w:val="22"/>
        </w:rPr>
        <w:t>开标时没有启封和读出的投标文件，在评标时将不予考虑。没有启封和读出的投标文件将原封退回给投标人。</w:t>
      </w:r>
    </w:p>
    <w:p>
      <w:pPr>
        <w:numPr>
          <w:ilvl w:val="1"/>
          <w:numId w:val="13"/>
        </w:numPr>
        <w:ind w:left="950" w:hanging="950" w:hangingChars="432"/>
        <w:rPr>
          <w:rFonts w:ascii="宋体" w:hAnsi="宋体" w:cs="宋体"/>
          <w:sz w:val="22"/>
        </w:rPr>
      </w:pPr>
      <w:r>
        <w:rPr>
          <w:rFonts w:hint="eastAsia" w:ascii="宋体" w:hAnsi="宋体" w:cs="宋体"/>
          <w:sz w:val="22"/>
        </w:rPr>
        <w:t>投标人对开标有异议的，应当在开标现场提出。采购代理机构将做开标记录，并要求出席有关人员签字确认。</w:t>
      </w:r>
    </w:p>
    <w:p>
      <w:pPr>
        <w:numPr>
          <w:ilvl w:val="1"/>
          <w:numId w:val="13"/>
        </w:numPr>
        <w:rPr>
          <w:rFonts w:ascii="宋体" w:hAnsi="宋体" w:cs="宋体"/>
          <w:sz w:val="22"/>
        </w:rPr>
      </w:pPr>
      <w:r>
        <w:rPr>
          <w:rFonts w:hint="eastAsia" w:ascii="宋体" w:hAnsi="宋体" w:cs="宋体"/>
          <w:sz w:val="22"/>
        </w:rPr>
        <w:t>公开招标采购项目开标结束后，采购人或者采购代理机构应当依法对投标人的资格进行审查。资格性检查：依据法律法规和采购文件的规定，对投标文件中的资格证明、投标保证金等进行审查，以确定投标供应商是否具备投标资格。</w:t>
      </w:r>
    </w:p>
    <w:p>
      <w:pPr>
        <w:numPr>
          <w:ilvl w:val="1"/>
          <w:numId w:val="13"/>
        </w:numPr>
        <w:rPr>
          <w:rFonts w:ascii="宋体" w:hAnsi="宋体" w:cs="宋体"/>
          <w:sz w:val="22"/>
        </w:rPr>
      </w:pPr>
      <w:r>
        <w:rPr>
          <w:rFonts w:hint="eastAsia" w:ascii="宋体" w:hAnsi="宋体" w:cs="宋体"/>
          <w:sz w:val="22"/>
        </w:rPr>
        <w:t>合格投标人不足3家的，不得评标。</w:t>
      </w:r>
    </w:p>
    <w:p>
      <w:r>
        <w:br w:type="page"/>
      </w:r>
    </w:p>
    <w:p/>
    <w:p/>
    <w:p/>
    <w:p/>
    <w:p/>
    <w:p/>
    <w:p/>
    <w:p/>
    <w:p/>
    <w:p/>
    <w:p/>
    <w:p/>
    <w:p/>
    <w:p/>
    <w:p/>
    <w:p>
      <w:pPr>
        <w:pStyle w:val="5"/>
        <w:rPr>
          <w:szCs w:val="28"/>
        </w:rPr>
      </w:pPr>
      <w:r>
        <w:rPr>
          <w:b w:val="0"/>
          <w:bCs/>
          <w:kern w:val="28"/>
          <w:sz w:val="44"/>
          <w:szCs w:val="44"/>
        </w:rPr>
        <w:t>第六章  评标要求</w:t>
      </w:r>
      <w:r>
        <w:rPr>
          <w:b w:val="0"/>
          <w:bCs/>
          <w:kern w:val="28"/>
          <w:sz w:val="44"/>
          <w:szCs w:val="44"/>
        </w:rPr>
        <w:br w:type="page"/>
      </w:r>
      <w:bookmarkEnd w:id="185"/>
      <w:bookmarkEnd w:id="186"/>
      <w:bookmarkEnd w:id="187"/>
      <w:bookmarkEnd w:id="188"/>
      <w:bookmarkEnd w:id="189"/>
      <w:bookmarkEnd w:id="190"/>
    </w:p>
    <w:p>
      <w:pPr>
        <w:rPr>
          <w:rFonts w:ascii="宋体" w:hAnsi="宋体" w:cs="宋体"/>
          <w:sz w:val="22"/>
        </w:rPr>
      </w:pPr>
    </w:p>
    <w:p>
      <w:pPr>
        <w:numPr>
          <w:ilvl w:val="0"/>
          <w:numId w:val="12"/>
        </w:numPr>
        <w:ind w:left="950" w:hanging="950" w:hangingChars="432"/>
        <w:rPr>
          <w:rFonts w:ascii="宋体" w:hAnsi="宋体" w:cs="宋体"/>
          <w:sz w:val="22"/>
        </w:rPr>
      </w:pPr>
      <w:bookmarkStart w:id="191" w:name="bt评标会议"/>
      <w:bookmarkEnd w:id="191"/>
      <w:bookmarkStart w:id="192" w:name="_Toc73517669"/>
      <w:bookmarkStart w:id="193" w:name="_Toc100052394"/>
      <w:bookmarkStart w:id="194" w:name="_Toc73518147"/>
      <w:bookmarkStart w:id="195" w:name="_Toc73521665"/>
      <w:bookmarkStart w:id="196" w:name="_Toc73521577"/>
      <w:r>
        <w:rPr>
          <w:rFonts w:hint="eastAsia" w:ascii="宋体" w:hAnsi="宋体" w:cs="宋体"/>
          <w:sz w:val="22"/>
        </w:rPr>
        <w:t>评审委员会组成</w:t>
      </w:r>
    </w:p>
    <w:p>
      <w:pPr>
        <w:numPr>
          <w:ilvl w:val="1"/>
          <w:numId w:val="13"/>
        </w:numPr>
        <w:ind w:left="950" w:hanging="950" w:hangingChars="432"/>
        <w:rPr>
          <w:rFonts w:ascii="宋体" w:hAnsi="宋体" w:cs="宋体"/>
          <w:sz w:val="22"/>
        </w:rPr>
      </w:pPr>
      <w:r>
        <w:rPr>
          <w:rFonts w:hint="eastAsia" w:ascii="宋体" w:hAnsi="宋体" w:cs="宋体"/>
          <w:sz w:val="22"/>
        </w:rPr>
        <w:t>开标结束后召开评标会议，评审委员会由政府采购代理机构依法组建，负责评标活动。</w:t>
      </w:r>
    </w:p>
    <w:p>
      <w:pPr>
        <w:numPr>
          <w:ilvl w:val="2"/>
          <w:numId w:val="17"/>
        </w:numPr>
        <w:ind w:left="950" w:hanging="950" w:hangingChars="432"/>
        <w:rPr>
          <w:rFonts w:ascii="宋体" w:hAnsi="宋体" w:cs="宋体"/>
          <w:sz w:val="22"/>
        </w:rPr>
      </w:pPr>
      <w:r>
        <w:rPr>
          <w:rFonts w:hint="eastAsia" w:ascii="宋体" w:hAnsi="宋体" w:cs="宋体"/>
          <w:sz w:val="22"/>
        </w:rPr>
        <w:t>评审委员会的组成及行为规范执行《政府采购货物和服务招标投标管理办法（财政部令第87号）》，评审委员会由采购单位代表和有关技术、经济等方面的专家组成，成员人数为5人以上（含5人）单数，其中技术、经济等方面的专家不少于成员总数的三分之二。</w:t>
      </w:r>
    </w:p>
    <w:p>
      <w:pPr>
        <w:numPr>
          <w:ilvl w:val="2"/>
          <w:numId w:val="17"/>
        </w:numPr>
        <w:ind w:left="950" w:hanging="950" w:hangingChars="432"/>
        <w:rPr>
          <w:rFonts w:ascii="宋体" w:hAnsi="宋体" w:cs="宋体"/>
          <w:sz w:val="22"/>
        </w:rPr>
      </w:pPr>
      <w:r>
        <w:rPr>
          <w:rFonts w:hint="eastAsia" w:ascii="宋体" w:hAnsi="宋体" w:cs="宋体"/>
          <w:sz w:val="22"/>
        </w:rPr>
        <w:t>为保证评委人选的专业性，以及评标中的公平公正性，评审委员会成员从深圳市财政委员会评标专家库中随机抽取。</w:t>
      </w:r>
    </w:p>
    <w:p>
      <w:pPr>
        <w:numPr>
          <w:ilvl w:val="2"/>
          <w:numId w:val="17"/>
        </w:numPr>
        <w:ind w:left="950" w:hanging="950" w:hangingChars="432"/>
        <w:rPr>
          <w:rFonts w:ascii="宋体" w:hAnsi="宋体" w:cs="宋体"/>
          <w:sz w:val="22"/>
        </w:rPr>
      </w:pPr>
      <w:r>
        <w:rPr>
          <w:rFonts w:hint="eastAsia" w:ascii="宋体" w:hAnsi="宋体" w:cs="宋体"/>
          <w:sz w:val="22"/>
        </w:rPr>
        <w:t>采购单位代表须持本单位签发的《评标授权书》参加评标。</w:t>
      </w:r>
    </w:p>
    <w:p>
      <w:pPr>
        <w:numPr>
          <w:ilvl w:val="2"/>
          <w:numId w:val="17"/>
        </w:numPr>
        <w:ind w:left="950" w:hanging="950" w:hangingChars="432"/>
        <w:rPr>
          <w:rFonts w:ascii="宋体" w:hAnsi="宋体" w:cs="宋体"/>
          <w:sz w:val="22"/>
        </w:rPr>
      </w:pPr>
      <w:r>
        <w:rPr>
          <w:rFonts w:hint="eastAsia" w:ascii="宋体" w:hAnsi="宋体" w:cs="宋体"/>
          <w:sz w:val="22"/>
        </w:rPr>
        <w:t>采购单位无代表参与评标，应在开标前一天提交《采购单位不派评委参与项目评标承诺书》给政府采购代理机构。</w:t>
      </w:r>
    </w:p>
    <w:p>
      <w:pPr>
        <w:numPr>
          <w:ilvl w:val="1"/>
          <w:numId w:val="13"/>
        </w:numPr>
        <w:ind w:left="950" w:hanging="950" w:hangingChars="432"/>
        <w:rPr>
          <w:rFonts w:ascii="宋体" w:hAnsi="宋体" w:cs="宋体"/>
          <w:sz w:val="22"/>
        </w:rPr>
      </w:pPr>
      <w:r>
        <w:rPr>
          <w:rFonts w:hint="eastAsia" w:ascii="宋体" w:hAnsi="宋体" w:cs="宋体"/>
          <w:sz w:val="22"/>
        </w:rPr>
        <w:t>评标定标应当遵循公平、公正、科学、择优的原则。</w:t>
      </w:r>
    </w:p>
    <w:p>
      <w:pPr>
        <w:numPr>
          <w:ilvl w:val="1"/>
          <w:numId w:val="13"/>
        </w:numPr>
        <w:ind w:left="950" w:hanging="950" w:hangingChars="432"/>
        <w:rPr>
          <w:rFonts w:ascii="宋体" w:hAnsi="宋体" w:cs="宋体"/>
          <w:sz w:val="22"/>
        </w:rPr>
      </w:pPr>
      <w:r>
        <w:rPr>
          <w:rFonts w:hint="eastAsia" w:ascii="宋体" w:hAnsi="宋体" w:cs="宋体"/>
          <w:sz w:val="22"/>
        </w:rPr>
        <w:t>评标活动依法进行，任何单位和个人不得非法干预评标过程和结果。</w:t>
      </w:r>
    </w:p>
    <w:p>
      <w:pPr>
        <w:numPr>
          <w:ilvl w:val="1"/>
          <w:numId w:val="13"/>
        </w:numPr>
        <w:ind w:left="950" w:hanging="950" w:hangingChars="432"/>
        <w:rPr>
          <w:rFonts w:ascii="宋体" w:hAnsi="宋体" w:cs="宋体"/>
          <w:sz w:val="22"/>
        </w:rPr>
      </w:pPr>
      <w:r>
        <w:rPr>
          <w:rFonts w:hint="eastAsia" w:ascii="宋体" w:hAnsi="宋体" w:cs="宋体"/>
          <w:sz w:val="22"/>
        </w:rPr>
        <w:t>评标过程中不允许违背评标程序或采用采购文件未载明的评标方法或评标因素进行评标。</w:t>
      </w:r>
    </w:p>
    <w:p>
      <w:pPr>
        <w:numPr>
          <w:ilvl w:val="1"/>
          <w:numId w:val="13"/>
        </w:numPr>
        <w:ind w:left="950" w:hanging="950" w:hangingChars="432"/>
        <w:rPr>
          <w:rFonts w:ascii="宋体" w:hAnsi="宋体" w:cs="宋体"/>
          <w:sz w:val="22"/>
        </w:rPr>
      </w:pPr>
      <w:r>
        <w:rPr>
          <w:rFonts w:hint="eastAsia" w:ascii="宋体" w:hAnsi="宋体" w:cs="宋体"/>
          <w:sz w:val="22"/>
        </w:rPr>
        <w:t>开标后，直到授予中标人合同为止，凡属于对投标文件的审查、澄清、评价和比较的有关资料以及中标候选人的推荐情况、与评标有关的其他任何情况均严格保密。</w:t>
      </w:r>
    </w:p>
    <w:p>
      <w:pPr>
        <w:ind w:left="907"/>
        <w:rPr>
          <w:rFonts w:ascii="宋体" w:hAnsi="宋体" w:cs="宋体"/>
          <w:sz w:val="22"/>
        </w:rPr>
      </w:pPr>
    </w:p>
    <w:p>
      <w:pPr>
        <w:numPr>
          <w:ilvl w:val="0"/>
          <w:numId w:val="12"/>
        </w:numPr>
        <w:ind w:left="950" w:hanging="950" w:hangingChars="432"/>
        <w:rPr>
          <w:rFonts w:ascii="宋体" w:hAnsi="宋体" w:cs="宋体"/>
          <w:sz w:val="22"/>
        </w:rPr>
      </w:pPr>
      <w:r>
        <w:rPr>
          <w:rFonts w:hint="eastAsia" w:ascii="宋体" w:hAnsi="宋体" w:cs="宋体"/>
          <w:sz w:val="22"/>
        </w:rPr>
        <w:t>向评审委员会提供的资料</w:t>
      </w:r>
    </w:p>
    <w:p>
      <w:pPr>
        <w:numPr>
          <w:ilvl w:val="1"/>
          <w:numId w:val="13"/>
        </w:numPr>
        <w:ind w:left="950" w:hanging="950" w:hangingChars="432"/>
        <w:rPr>
          <w:rFonts w:ascii="宋体" w:hAnsi="宋体" w:cs="宋体"/>
          <w:sz w:val="22"/>
        </w:rPr>
      </w:pPr>
      <w:r>
        <w:rPr>
          <w:rFonts w:hint="eastAsia" w:ascii="宋体" w:hAnsi="宋体" w:cs="宋体"/>
          <w:sz w:val="22"/>
        </w:rPr>
        <w:t>公开发布的采购文件，包括图纸、服务清单、答疑文件等；</w:t>
      </w:r>
    </w:p>
    <w:p>
      <w:pPr>
        <w:numPr>
          <w:ilvl w:val="1"/>
          <w:numId w:val="13"/>
        </w:numPr>
        <w:ind w:left="950" w:hanging="950" w:hangingChars="432"/>
        <w:rPr>
          <w:rFonts w:ascii="宋体" w:hAnsi="宋体" w:cs="宋体"/>
          <w:sz w:val="22"/>
        </w:rPr>
      </w:pPr>
      <w:r>
        <w:rPr>
          <w:rFonts w:hint="eastAsia" w:ascii="宋体" w:hAnsi="宋体" w:cs="宋体"/>
          <w:sz w:val="22"/>
        </w:rPr>
        <w:t>其他评标必须的资料。</w:t>
      </w:r>
    </w:p>
    <w:p>
      <w:pPr>
        <w:numPr>
          <w:ilvl w:val="1"/>
          <w:numId w:val="13"/>
        </w:numPr>
        <w:ind w:left="950" w:hanging="950" w:hangingChars="432"/>
        <w:rPr>
          <w:rFonts w:ascii="宋体" w:hAnsi="宋体" w:cs="宋体"/>
          <w:sz w:val="22"/>
        </w:rPr>
      </w:pPr>
      <w:r>
        <w:rPr>
          <w:rFonts w:hint="eastAsia" w:ascii="宋体" w:hAnsi="宋体" w:cs="宋体"/>
          <w:sz w:val="22"/>
        </w:rPr>
        <w:t>评审委员会应当认真研究采购文件，至少应了解熟悉以下内容：</w:t>
      </w:r>
    </w:p>
    <w:p>
      <w:pPr>
        <w:numPr>
          <w:ilvl w:val="2"/>
          <w:numId w:val="17"/>
        </w:numPr>
        <w:ind w:left="950" w:hanging="950" w:hangingChars="432"/>
        <w:rPr>
          <w:rFonts w:ascii="宋体" w:hAnsi="宋体" w:cs="宋体"/>
          <w:sz w:val="22"/>
        </w:rPr>
      </w:pPr>
      <w:r>
        <w:rPr>
          <w:rFonts w:hint="eastAsia" w:ascii="宋体" w:hAnsi="宋体" w:cs="宋体"/>
          <w:sz w:val="22"/>
        </w:rPr>
        <w:t>招标的目的；</w:t>
      </w:r>
    </w:p>
    <w:p>
      <w:pPr>
        <w:numPr>
          <w:ilvl w:val="2"/>
          <w:numId w:val="17"/>
        </w:numPr>
        <w:ind w:left="950" w:hanging="950" w:hangingChars="432"/>
        <w:rPr>
          <w:rFonts w:ascii="宋体" w:hAnsi="宋体" w:cs="宋体"/>
          <w:sz w:val="22"/>
        </w:rPr>
      </w:pPr>
      <w:r>
        <w:rPr>
          <w:rFonts w:hint="eastAsia" w:ascii="宋体" w:hAnsi="宋体" w:cs="宋体"/>
          <w:sz w:val="22"/>
        </w:rPr>
        <w:t>招标项目需求的范围和性质；</w:t>
      </w:r>
    </w:p>
    <w:p>
      <w:pPr>
        <w:numPr>
          <w:ilvl w:val="2"/>
          <w:numId w:val="17"/>
        </w:numPr>
        <w:ind w:left="950" w:hanging="950" w:hangingChars="432"/>
        <w:rPr>
          <w:rFonts w:ascii="宋体" w:hAnsi="宋体" w:cs="宋体"/>
          <w:sz w:val="22"/>
        </w:rPr>
      </w:pPr>
      <w:r>
        <w:rPr>
          <w:rFonts w:hint="eastAsia" w:ascii="宋体" w:hAnsi="宋体" w:cs="宋体"/>
          <w:sz w:val="22"/>
        </w:rPr>
        <w:t>采购文件规定的投标人的资格、财政预算限额、商务条款；</w:t>
      </w:r>
    </w:p>
    <w:p>
      <w:pPr>
        <w:numPr>
          <w:ilvl w:val="2"/>
          <w:numId w:val="17"/>
        </w:numPr>
        <w:ind w:left="950" w:hanging="950" w:hangingChars="432"/>
        <w:rPr>
          <w:rFonts w:ascii="宋体" w:hAnsi="宋体" w:cs="宋体"/>
          <w:sz w:val="22"/>
        </w:rPr>
      </w:pPr>
      <w:r>
        <w:rPr>
          <w:rFonts w:hint="eastAsia" w:ascii="宋体" w:hAnsi="宋体" w:cs="宋体"/>
          <w:sz w:val="22"/>
        </w:rPr>
        <w:t>采购文件规定的评标程序、评标方法和评标因素；</w:t>
      </w:r>
    </w:p>
    <w:p>
      <w:pPr>
        <w:numPr>
          <w:ilvl w:val="2"/>
          <w:numId w:val="17"/>
        </w:numPr>
        <w:ind w:left="950" w:hanging="950" w:hangingChars="432"/>
        <w:rPr>
          <w:rFonts w:ascii="宋体" w:hAnsi="宋体" w:cs="宋体"/>
          <w:sz w:val="22"/>
        </w:rPr>
      </w:pPr>
      <w:r>
        <w:rPr>
          <w:rFonts w:hint="eastAsia" w:ascii="宋体" w:hAnsi="宋体" w:cs="宋体"/>
          <w:sz w:val="22"/>
        </w:rPr>
        <w:t>采购文件所列示的废标条款；</w:t>
      </w:r>
    </w:p>
    <w:p>
      <w:pPr>
        <w:ind w:left="907"/>
        <w:rPr>
          <w:rFonts w:ascii="宋体" w:hAnsi="宋体" w:cs="宋体"/>
          <w:sz w:val="22"/>
        </w:rPr>
      </w:pPr>
    </w:p>
    <w:p>
      <w:pPr>
        <w:numPr>
          <w:ilvl w:val="0"/>
          <w:numId w:val="12"/>
        </w:numPr>
        <w:ind w:left="950" w:hanging="950" w:hangingChars="432"/>
        <w:rPr>
          <w:rFonts w:ascii="宋体" w:hAnsi="宋体" w:cs="宋体"/>
          <w:sz w:val="22"/>
        </w:rPr>
      </w:pPr>
      <w:r>
        <w:rPr>
          <w:rFonts w:hint="eastAsia" w:ascii="宋体" w:hAnsi="宋体" w:cs="宋体"/>
          <w:sz w:val="22"/>
        </w:rPr>
        <w:t>独立评标</w:t>
      </w:r>
    </w:p>
    <w:p>
      <w:pPr>
        <w:numPr>
          <w:ilvl w:val="1"/>
          <w:numId w:val="13"/>
        </w:numPr>
        <w:ind w:left="950" w:hanging="950" w:hangingChars="432"/>
        <w:rPr>
          <w:rFonts w:ascii="宋体" w:hAnsi="宋体" w:cs="宋体"/>
          <w:sz w:val="22"/>
        </w:rPr>
      </w:pPr>
      <w:r>
        <w:rPr>
          <w:rFonts w:hint="eastAsia" w:ascii="宋体" w:hAnsi="宋体" w:cs="宋体"/>
          <w:sz w:val="22"/>
        </w:rPr>
        <w:t>评审委员会成员的评标活动应当独立进行，并应遵循投标文件初审、澄清有关问题、比较与评价、确定中标供应商、编写评标报告的工作程序。</w:t>
      </w:r>
      <w:bookmarkEnd w:id="192"/>
      <w:bookmarkEnd w:id="193"/>
      <w:bookmarkEnd w:id="194"/>
      <w:bookmarkEnd w:id="195"/>
      <w:bookmarkEnd w:id="196"/>
      <w:bookmarkStart w:id="197" w:name="bt错误的修正"/>
      <w:bookmarkEnd w:id="197"/>
      <w:bookmarkStart w:id="198" w:name="bt评标过程的保密"/>
      <w:bookmarkEnd w:id="198"/>
    </w:p>
    <w:p>
      <w:bookmarkStart w:id="199" w:name="_Toc101074883"/>
      <w:bookmarkStart w:id="200" w:name="_Toc100052397"/>
    </w:p>
    <w:p>
      <w:r>
        <w:br w:type="page"/>
      </w:r>
    </w:p>
    <w:p/>
    <w:p/>
    <w:p/>
    <w:p/>
    <w:p/>
    <w:p/>
    <w:p/>
    <w:p/>
    <w:p/>
    <w:p/>
    <w:p/>
    <w:p/>
    <w:p/>
    <w:p/>
    <w:p/>
    <w:p>
      <w:pPr>
        <w:pStyle w:val="5"/>
        <w:rPr>
          <w:b w:val="0"/>
          <w:bCs/>
          <w:kern w:val="28"/>
          <w:sz w:val="44"/>
          <w:szCs w:val="44"/>
        </w:rPr>
      </w:pPr>
      <w:r>
        <w:rPr>
          <w:b w:val="0"/>
          <w:bCs/>
          <w:kern w:val="28"/>
          <w:sz w:val="44"/>
          <w:szCs w:val="44"/>
        </w:rPr>
        <w:t>第七章  评标程序及评标方法</w:t>
      </w:r>
    </w:p>
    <w:p>
      <w:pPr>
        <w:ind w:left="-907" w:leftChars="-432"/>
        <w:jc w:val="center"/>
        <w:rPr>
          <w:szCs w:val="28"/>
        </w:rPr>
      </w:pPr>
      <w:r>
        <w:rPr>
          <w:szCs w:val="28"/>
        </w:rPr>
        <w:br w:type="page"/>
      </w:r>
      <w:bookmarkEnd w:id="199"/>
      <w:bookmarkEnd w:id="200"/>
      <w:bookmarkStart w:id="201" w:name="_Toc73521667"/>
      <w:bookmarkStart w:id="202" w:name="_Toc73518149"/>
      <w:bookmarkStart w:id="203" w:name="_Toc73517671"/>
      <w:bookmarkStart w:id="204" w:name="_Toc73521579"/>
    </w:p>
    <w:p/>
    <w:p>
      <w:pPr>
        <w:numPr>
          <w:ilvl w:val="0"/>
          <w:numId w:val="12"/>
        </w:numPr>
        <w:ind w:left="950" w:hanging="950" w:hangingChars="432"/>
        <w:rPr>
          <w:rFonts w:ascii="宋体" w:hAnsi="宋体" w:cs="宋体"/>
          <w:sz w:val="22"/>
        </w:rPr>
      </w:pPr>
      <w:bookmarkStart w:id="205" w:name="_Toc100052398"/>
      <w:r>
        <w:rPr>
          <w:rFonts w:hint="eastAsia" w:ascii="宋体" w:hAnsi="宋体" w:cs="宋体"/>
          <w:sz w:val="22"/>
        </w:rPr>
        <w:t>投标文件初审</w:t>
      </w:r>
      <w:bookmarkEnd w:id="205"/>
    </w:p>
    <w:bookmarkEnd w:id="201"/>
    <w:bookmarkEnd w:id="202"/>
    <w:bookmarkEnd w:id="203"/>
    <w:bookmarkEnd w:id="204"/>
    <w:p>
      <w:pPr>
        <w:numPr>
          <w:ilvl w:val="1"/>
          <w:numId w:val="13"/>
        </w:numPr>
        <w:ind w:left="950" w:hanging="950" w:hangingChars="432"/>
        <w:rPr>
          <w:rFonts w:ascii="宋体" w:hAnsi="宋体" w:cs="宋体"/>
          <w:sz w:val="22"/>
        </w:rPr>
      </w:pPr>
      <w:r>
        <w:rPr>
          <w:rFonts w:hint="eastAsia" w:ascii="宋体" w:hAnsi="宋体" w:cs="宋体"/>
          <w:sz w:val="22"/>
        </w:rPr>
        <w:t>投标文件初审即符合性检查。符合性检查：依据采购文件的规定，从投标文件的有效性、完整性和对采购文件的响应程度进行审查，以确定是否对采购文件的实质性要求作出响应。</w:t>
      </w:r>
    </w:p>
    <w:p>
      <w:pPr>
        <w:numPr>
          <w:ilvl w:val="1"/>
          <w:numId w:val="13"/>
        </w:numPr>
        <w:ind w:left="950" w:hanging="950" w:hangingChars="432"/>
        <w:rPr>
          <w:rFonts w:ascii="宋体" w:hAnsi="宋体" w:cs="宋体"/>
          <w:sz w:val="22"/>
        </w:rPr>
      </w:pPr>
      <w:r>
        <w:rPr>
          <w:rFonts w:hint="eastAsia" w:ascii="宋体" w:hAnsi="宋体" w:cs="宋体"/>
          <w:sz w:val="22"/>
        </w:rPr>
        <w:t>投标文件初审内容请详见“关键信息”中的《投标文件初审表》部分。投标人若有一条审查不通过则按废标处理。评审委员会对投标单位打√为通过审查，打×为未通过审查。</w:t>
      </w:r>
    </w:p>
    <w:p>
      <w:pPr>
        <w:numPr>
          <w:ilvl w:val="1"/>
          <w:numId w:val="13"/>
        </w:numPr>
        <w:ind w:left="950" w:hanging="950" w:hangingChars="432"/>
        <w:rPr>
          <w:rFonts w:ascii="宋体" w:hAnsi="宋体" w:cs="宋体"/>
          <w:sz w:val="22"/>
        </w:rPr>
      </w:pPr>
      <w:r>
        <w:rPr>
          <w:rFonts w:hint="eastAsia" w:ascii="宋体" w:hAnsi="宋体" w:cs="宋体"/>
          <w:sz w:val="22"/>
        </w:rPr>
        <w:t>投标文件初审中关于供应商家数的计算。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采购文件规定的方式确定一个投标人获得中标人推荐资格，采购文件未规定的采取随机抽取方式确定，其他同品牌投标人不作为中标候选人。公开招标以外采购方式以及政府采购服务和工程涉及采购货物的项目，也按此方法计算供应商家数。</w:t>
      </w:r>
    </w:p>
    <w:p>
      <w:pPr>
        <w:numPr>
          <w:ilvl w:val="1"/>
          <w:numId w:val="13"/>
        </w:numPr>
        <w:ind w:left="950" w:hanging="950" w:hangingChars="432"/>
        <w:rPr>
          <w:rFonts w:ascii="宋体" w:hAnsi="宋体" w:cs="宋体"/>
          <w:sz w:val="22"/>
        </w:rPr>
      </w:pPr>
      <w:r>
        <w:rPr>
          <w:rFonts w:hint="eastAsia" w:ascii="宋体" w:hAnsi="宋体" w:cs="宋体"/>
          <w:sz w:val="22"/>
        </w:rPr>
        <w:t>对不属于投标文件初审表所列的其他情形，除法律法规另有规定外，不得作为废标的理由。</w:t>
      </w:r>
    </w:p>
    <w:p>
      <w:pPr>
        <w:ind w:left="907"/>
        <w:rPr>
          <w:rFonts w:ascii="宋体" w:hAnsi="宋体" w:cs="宋体"/>
          <w:sz w:val="22"/>
        </w:rPr>
      </w:pPr>
    </w:p>
    <w:p>
      <w:pPr>
        <w:numPr>
          <w:ilvl w:val="0"/>
          <w:numId w:val="12"/>
        </w:numPr>
        <w:ind w:left="950" w:hanging="950" w:hangingChars="432"/>
        <w:rPr>
          <w:rFonts w:ascii="宋体" w:hAnsi="宋体" w:cs="宋体"/>
          <w:sz w:val="22"/>
        </w:rPr>
      </w:pPr>
      <w:bookmarkStart w:id="206" w:name="_Toc100052399"/>
      <w:r>
        <w:rPr>
          <w:rFonts w:hint="eastAsia" w:ascii="宋体" w:hAnsi="宋体" w:cs="宋体"/>
          <w:sz w:val="22"/>
        </w:rPr>
        <w:t>澄清有关问题</w:t>
      </w:r>
      <w:bookmarkEnd w:id="206"/>
    </w:p>
    <w:p>
      <w:pPr>
        <w:numPr>
          <w:ilvl w:val="1"/>
          <w:numId w:val="13"/>
        </w:numPr>
        <w:ind w:left="950" w:hanging="950" w:hangingChars="432"/>
        <w:rPr>
          <w:rFonts w:ascii="宋体" w:hAnsi="宋体" w:cs="宋体"/>
          <w:sz w:val="22"/>
        </w:rPr>
      </w:pPr>
      <w:bookmarkStart w:id="207" w:name="bt废标"/>
      <w:bookmarkEnd w:id="207"/>
      <w:bookmarkStart w:id="208" w:name="bt投标文件的评估和比较"/>
      <w:bookmarkEnd w:id="208"/>
      <w:bookmarkStart w:id="209" w:name="bt投标文件的澄清"/>
      <w:bookmarkEnd w:id="209"/>
      <w:bookmarkStart w:id="210" w:name="_Toc73521583"/>
      <w:bookmarkStart w:id="211" w:name="_Toc73518153"/>
      <w:bookmarkStart w:id="212" w:name="_Toc73517675"/>
      <w:bookmarkStart w:id="213" w:name="_Toc73521671"/>
      <w:r>
        <w:rPr>
          <w:rFonts w:hint="eastAsia" w:ascii="宋体" w:hAnsi="宋体" w:cs="宋体"/>
          <w:sz w:val="22"/>
        </w:rPr>
        <w:t>为了有助于投标文件的审查、评价和比较，对投标文件含义不明确、同类问题表述不一致或者有明显文字和计算错误的内容，评审委员会可以用书面形式(应当由评审委员会签字)要求投标供应商作出必要的澄清、说明或者纠正。投标人的澄清、说明或者补正应当用采用书面形式（由其授权的代表签字），并不得超出投标文件的范围或者改变投标文件的实质性的内容。根据本通用条款第34条，凡属于评审委员会在评标中发现的算术错误进行核实的修改不在此列。</w:t>
      </w:r>
    </w:p>
    <w:p>
      <w:pPr>
        <w:ind w:left="907"/>
        <w:rPr>
          <w:rFonts w:ascii="宋体" w:hAnsi="宋体" w:cs="宋体"/>
          <w:sz w:val="22"/>
        </w:rPr>
      </w:pPr>
    </w:p>
    <w:p>
      <w:pPr>
        <w:numPr>
          <w:ilvl w:val="0"/>
          <w:numId w:val="12"/>
        </w:numPr>
        <w:ind w:left="950" w:hanging="950" w:hangingChars="432"/>
        <w:rPr>
          <w:rFonts w:ascii="宋体" w:hAnsi="宋体" w:cs="宋体"/>
          <w:sz w:val="22"/>
        </w:rPr>
      </w:pPr>
      <w:r>
        <w:rPr>
          <w:rFonts w:hint="eastAsia" w:ascii="宋体" w:hAnsi="宋体" w:cs="宋体"/>
          <w:sz w:val="22"/>
        </w:rPr>
        <w:t>错误的修正</w:t>
      </w:r>
    </w:p>
    <w:p>
      <w:pPr>
        <w:numPr>
          <w:ilvl w:val="1"/>
          <w:numId w:val="13"/>
        </w:numPr>
        <w:ind w:left="954" w:hanging="954" w:hangingChars="432"/>
        <w:rPr>
          <w:rFonts w:ascii="宋体" w:hAnsi="宋体" w:cs="宋体"/>
          <w:b/>
          <w:bCs/>
          <w:sz w:val="22"/>
        </w:rPr>
      </w:pPr>
      <w:r>
        <w:rPr>
          <w:rFonts w:hint="eastAsia" w:ascii="宋体" w:hAnsi="宋体" w:cs="宋体"/>
          <w:b/>
          <w:bCs/>
          <w:sz w:val="22"/>
        </w:rPr>
        <w:t xml:space="preserve">（一）投标文件中开标一览表（报价表）内容与投标文件中相应内容不一致的，以开标一览表（报价表）为准； </w:t>
      </w:r>
    </w:p>
    <w:p>
      <w:pPr>
        <w:numPr>
          <w:ilvl w:val="1"/>
          <w:numId w:val="13"/>
        </w:numPr>
        <w:ind w:left="954" w:hanging="954" w:hangingChars="432"/>
        <w:rPr>
          <w:rFonts w:ascii="宋体" w:hAnsi="宋体" w:cs="宋体"/>
          <w:b/>
          <w:bCs/>
          <w:sz w:val="22"/>
        </w:rPr>
      </w:pPr>
      <w:r>
        <w:rPr>
          <w:rFonts w:hint="eastAsia" w:ascii="宋体" w:hAnsi="宋体" w:cs="宋体"/>
          <w:b/>
          <w:bCs/>
          <w:sz w:val="22"/>
        </w:rPr>
        <w:t xml:space="preserve">（二）大写金额和小写金额不一致的，以大写金额为准； </w:t>
      </w:r>
    </w:p>
    <w:p>
      <w:pPr>
        <w:numPr>
          <w:ilvl w:val="1"/>
          <w:numId w:val="13"/>
        </w:numPr>
        <w:ind w:left="954" w:hanging="954" w:hangingChars="432"/>
        <w:rPr>
          <w:rFonts w:ascii="宋体" w:hAnsi="宋体" w:cs="宋体"/>
          <w:b/>
          <w:bCs/>
          <w:sz w:val="22"/>
        </w:rPr>
      </w:pPr>
      <w:r>
        <w:rPr>
          <w:rFonts w:hint="eastAsia" w:ascii="宋体" w:hAnsi="宋体" w:cs="宋体"/>
          <w:b/>
          <w:bCs/>
          <w:sz w:val="22"/>
        </w:rPr>
        <w:t xml:space="preserve">（三）单价金额小数点或者百分比有明显错位的，以开标一览表的总价为准，并修改单价； </w:t>
      </w:r>
    </w:p>
    <w:p>
      <w:pPr>
        <w:numPr>
          <w:ilvl w:val="1"/>
          <w:numId w:val="13"/>
        </w:numPr>
        <w:ind w:left="954" w:hanging="954" w:hangingChars="432"/>
        <w:rPr>
          <w:rFonts w:ascii="宋体" w:hAnsi="宋体" w:cs="宋体"/>
          <w:b/>
          <w:bCs/>
          <w:sz w:val="22"/>
        </w:rPr>
      </w:pPr>
      <w:r>
        <w:rPr>
          <w:rFonts w:hint="eastAsia" w:ascii="宋体" w:hAnsi="宋体" w:cs="宋体"/>
          <w:b/>
          <w:bCs/>
          <w:sz w:val="22"/>
        </w:rPr>
        <w:t xml:space="preserve">（四）总价金额与按单价汇总金额不一致的，以单价金额计算结果为准。 </w:t>
      </w:r>
    </w:p>
    <w:p>
      <w:pPr>
        <w:numPr>
          <w:ilvl w:val="1"/>
          <w:numId w:val="13"/>
        </w:numPr>
        <w:ind w:left="954" w:hanging="954" w:hangingChars="432"/>
        <w:rPr>
          <w:rFonts w:ascii="宋体" w:hAnsi="宋体" w:cs="宋体"/>
          <w:sz w:val="22"/>
        </w:rPr>
      </w:pPr>
      <w:r>
        <w:rPr>
          <w:rFonts w:hint="eastAsia" w:ascii="宋体" w:hAnsi="宋体" w:cs="宋体"/>
          <w:b/>
          <w:bCs/>
          <w:sz w:val="22"/>
        </w:rPr>
        <w:t>同时出现两种以上不一致的，按照前款规定的顺序修正。修正后的报价由评标委员会以澄清方式经投标人确认后产生约束力，投标人不确认的，其投标无效。</w:t>
      </w:r>
    </w:p>
    <w:p>
      <w:pPr>
        <w:numPr>
          <w:ilvl w:val="0"/>
          <w:numId w:val="12"/>
        </w:numPr>
        <w:ind w:left="950" w:hanging="950" w:hangingChars="432"/>
        <w:rPr>
          <w:rFonts w:ascii="宋体" w:hAnsi="宋体" w:cs="宋体"/>
          <w:sz w:val="22"/>
        </w:rPr>
      </w:pPr>
      <w:bookmarkStart w:id="214" w:name="_Toc100052401"/>
      <w:r>
        <w:rPr>
          <w:rFonts w:hint="eastAsia" w:ascii="宋体" w:hAnsi="宋体" w:cs="宋体"/>
          <w:sz w:val="22"/>
        </w:rPr>
        <w:t>投标文件的</w:t>
      </w:r>
      <w:bookmarkEnd w:id="210"/>
      <w:bookmarkEnd w:id="211"/>
      <w:bookmarkEnd w:id="212"/>
      <w:bookmarkEnd w:id="213"/>
      <w:r>
        <w:rPr>
          <w:rFonts w:hint="eastAsia" w:ascii="宋体" w:hAnsi="宋体" w:cs="宋体"/>
          <w:sz w:val="22"/>
        </w:rPr>
        <w:t>比较与评价</w:t>
      </w:r>
      <w:bookmarkEnd w:id="214"/>
    </w:p>
    <w:p>
      <w:pPr>
        <w:numPr>
          <w:ilvl w:val="1"/>
          <w:numId w:val="13"/>
        </w:numPr>
        <w:ind w:left="950" w:hanging="950" w:hangingChars="432"/>
        <w:rPr>
          <w:rFonts w:ascii="宋体" w:hAnsi="宋体" w:cs="宋体"/>
          <w:sz w:val="22"/>
        </w:rPr>
      </w:pPr>
      <w:r>
        <w:rPr>
          <w:rFonts w:hint="eastAsia" w:ascii="宋体" w:hAnsi="宋体" w:cs="宋体"/>
          <w:sz w:val="22"/>
        </w:rPr>
        <w:t>评审委员会将按照《深圳经济特区政府采购条例》及《政府采购货物和服务招标投标管理办法（财政部令第87号）》，参照相关法律、法规、规定，仅对通过资格性审查和符合性审查的投标文件进行综合比较与评价。</w:t>
      </w:r>
    </w:p>
    <w:p>
      <w:pPr>
        <w:ind w:left="907"/>
        <w:rPr>
          <w:rFonts w:ascii="宋体" w:hAnsi="宋体" w:cs="宋体"/>
          <w:sz w:val="22"/>
        </w:rPr>
      </w:pPr>
    </w:p>
    <w:p>
      <w:pPr>
        <w:numPr>
          <w:ilvl w:val="0"/>
          <w:numId w:val="12"/>
        </w:numPr>
        <w:ind w:left="950" w:hanging="950" w:hangingChars="432"/>
        <w:rPr>
          <w:rFonts w:ascii="宋体" w:hAnsi="宋体" w:cs="宋体"/>
          <w:sz w:val="22"/>
        </w:rPr>
      </w:pPr>
      <w:r>
        <w:rPr>
          <w:rFonts w:hint="eastAsia" w:ascii="宋体" w:hAnsi="宋体" w:cs="宋体"/>
          <w:sz w:val="22"/>
        </w:rPr>
        <w:t>实地考察、演示或设备测试</w:t>
      </w:r>
    </w:p>
    <w:p>
      <w:pPr>
        <w:numPr>
          <w:ilvl w:val="1"/>
          <w:numId w:val="13"/>
        </w:numPr>
        <w:ind w:left="950" w:hanging="950" w:hangingChars="432"/>
        <w:rPr>
          <w:rFonts w:ascii="宋体" w:hAnsi="宋体" w:cs="宋体"/>
          <w:sz w:val="22"/>
        </w:rPr>
      </w:pPr>
      <w:r>
        <w:rPr>
          <w:rFonts w:hint="eastAsia" w:ascii="宋体" w:hAnsi="宋体" w:cs="宋体"/>
          <w:sz w:val="22"/>
        </w:rPr>
        <w:t>在招标过程中，评审委员会有权决定是否对本项目投标人进行现场勘察或实地考察或检验有关证明材料的原件。投标人应随时做好接受检查的准备。</w:t>
      </w:r>
    </w:p>
    <w:p>
      <w:pPr>
        <w:numPr>
          <w:ilvl w:val="1"/>
          <w:numId w:val="13"/>
        </w:numPr>
        <w:ind w:left="950" w:hanging="950" w:hangingChars="432"/>
        <w:rPr>
          <w:rFonts w:ascii="宋体" w:hAnsi="宋体" w:cs="宋体"/>
          <w:sz w:val="22"/>
        </w:rPr>
      </w:pPr>
      <w:r>
        <w:rPr>
          <w:rFonts w:hint="eastAsia" w:ascii="宋体" w:hAnsi="宋体" w:cs="宋体"/>
          <w:sz w:val="22"/>
        </w:rPr>
        <w:t>若采购文件要求进行现场演示或设备测试的，投标人应做好相应准备。</w:t>
      </w:r>
    </w:p>
    <w:p>
      <w:pPr>
        <w:ind w:left="907"/>
        <w:rPr>
          <w:rFonts w:ascii="宋体" w:hAnsi="宋体" w:cs="宋体"/>
          <w:sz w:val="22"/>
        </w:rPr>
      </w:pPr>
    </w:p>
    <w:p>
      <w:pPr>
        <w:numPr>
          <w:ilvl w:val="0"/>
          <w:numId w:val="12"/>
        </w:numPr>
        <w:ind w:left="950" w:hanging="950" w:hangingChars="432"/>
        <w:rPr>
          <w:rFonts w:ascii="宋体" w:hAnsi="宋体" w:cs="宋体"/>
          <w:sz w:val="22"/>
        </w:rPr>
      </w:pPr>
      <w:bookmarkStart w:id="215" w:name="_Toc100052402"/>
      <w:r>
        <w:rPr>
          <w:rFonts w:hint="eastAsia" w:ascii="宋体" w:hAnsi="宋体" w:cs="宋体"/>
          <w:sz w:val="22"/>
        </w:rPr>
        <w:t>评标方法</w:t>
      </w:r>
      <w:bookmarkEnd w:id="215"/>
    </w:p>
    <w:p>
      <w:pPr>
        <w:numPr>
          <w:ilvl w:val="1"/>
          <w:numId w:val="13"/>
        </w:numPr>
        <w:ind w:left="950" w:hanging="950" w:hangingChars="432"/>
        <w:rPr>
          <w:rFonts w:ascii="宋体" w:hAnsi="宋体" w:cs="宋体"/>
          <w:sz w:val="22"/>
        </w:rPr>
      </w:pPr>
      <w:bookmarkStart w:id="216" w:name="评标方法2"/>
      <w:r>
        <w:rPr>
          <w:rFonts w:hint="eastAsia" w:ascii="宋体" w:hAnsi="宋体" w:cs="宋体"/>
          <w:sz w:val="22"/>
        </w:rPr>
        <w:t>最低价法</w:t>
      </w:r>
    </w:p>
    <w:p>
      <w:pPr>
        <w:numPr>
          <w:ilvl w:val="2"/>
          <w:numId w:val="17"/>
        </w:numPr>
        <w:ind w:left="950" w:hanging="950" w:hangingChars="432"/>
        <w:rPr>
          <w:rFonts w:ascii="宋体" w:hAnsi="宋体" w:cs="宋体"/>
          <w:sz w:val="22"/>
        </w:rPr>
      </w:pPr>
      <w:r>
        <w:rPr>
          <w:rFonts w:hint="eastAsia" w:ascii="宋体" w:hAnsi="宋体" w:cs="宋体"/>
          <w:sz w:val="22"/>
        </w:rPr>
        <w:t>最低价法是指以价格因素确定中标候选供应商的评标方法，即在满足采购文件实质性要求前提下，以报价最低的投标供应商作为中标候选供应商或中标供应商的评标方法；</w:t>
      </w:r>
    </w:p>
    <w:p>
      <w:pPr>
        <w:numPr>
          <w:ilvl w:val="1"/>
          <w:numId w:val="13"/>
        </w:numPr>
        <w:ind w:left="950" w:hanging="950" w:hangingChars="432"/>
        <w:rPr>
          <w:rFonts w:ascii="宋体" w:hAnsi="宋体" w:cs="宋体"/>
          <w:sz w:val="22"/>
        </w:rPr>
      </w:pPr>
      <w:r>
        <w:rPr>
          <w:rFonts w:hint="eastAsia" w:ascii="宋体" w:hAnsi="宋体" w:cs="宋体"/>
          <w:sz w:val="22"/>
        </w:rPr>
        <w:t>定性评审法</w:t>
      </w:r>
    </w:p>
    <w:p>
      <w:pPr>
        <w:numPr>
          <w:ilvl w:val="2"/>
          <w:numId w:val="17"/>
        </w:numPr>
        <w:rPr>
          <w:rFonts w:ascii="宋体" w:hAnsi="宋体" w:cs="宋体"/>
          <w:sz w:val="22"/>
        </w:rPr>
      </w:pPr>
      <w:r>
        <w:rPr>
          <w:rFonts w:hint="eastAsia" w:ascii="宋体" w:hAnsi="宋体" w:cs="宋体"/>
          <w:sz w:val="22"/>
        </w:rPr>
        <w:t>定性评审法是指按照招标文件规定的各项因素进行技术商务定性评审，对各投标文件是否满足招标文件实质性要求提出意见，指出投标文件的优点、缺陷、问题以及签订合同前应注意和澄清的事项，并形成评审报告。所有递交的投标文件不被判定为废标或者无效标的投标人，均推荐为候选中标供应商。</w:t>
      </w:r>
    </w:p>
    <w:p>
      <w:pPr>
        <w:numPr>
          <w:ilvl w:val="1"/>
          <w:numId w:val="13"/>
        </w:numPr>
        <w:ind w:left="950" w:hanging="950" w:hangingChars="432"/>
        <w:rPr>
          <w:rFonts w:ascii="宋体" w:hAnsi="宋体" w:cs="宋体"/>
          <w:sz w:val="22"/>
        </w:rPr>
      </w:pPr>
      <w:r>
        <w:rPr>
          <w:rFonts w:hint="eastAsia" w:ascii="宋体" w:hAnsi="宋体" w:cs="宋体"/>
          <w:sz w:val="22"/>
        </w:rPr>
        <w:t>综合评分法</w:t>
      </w:r>
      <w:bookmarkEnd w:id="216"/>
    </w:p>
    <w:p>
      <w:pPr>
        <w:numPr>
          <w:ilvl w:val="2"/>
          <w:numId w:val="17"/>
        </w:numPr>
        <w:ind w:left="950" w:hanging="950" w:hangingChars="432"/>
        <w:rPr>
          <w:rFonts w:ascii="宋体" w:hAnsi="宋体" w:cs="宋体"/>
          <w:sz w:val="22"/>
        </w:rPr>
      </w:pPr>
      <w:bookmarkStart w:id="217" w:name="评标方法3"/>
      <w:r>
        <w:rPr>
          <w:rFonts w:hint="eastAsia" w:ascii="宋体" w:hAnsi="宋体" w:cs="宋体"/>
          <w:sz w:val="22"/>
        </w:rPr>
        <w:t>综合评分法是指在最大限度地满足采购文件实质性要求前提下，按照采购文件中规定的各项因素进行量化打分，以评标总得分最高的投标供应商作为中标候选供应商或中标供应商的评标方法。</w:t>
      </w:r>
    </w:p>
    <w:p>
      <w:pPr>
        <w:numPr>
          <w:ilvl w:val="1"/>
          <w:numId w:val="13"/>
        </w:numPr>
        <w:ind w:left="950" w:hanging="950" w:hangingChars="432"/>
        <w:rPr>
          <w:rFonts w:ascii="宋体" w:hAnsi="宋体" w:cs="宋体"/>
          <w:sz w:val="22"/>
        </w:rPr>
      </w:pPr>
      <w:r>
        <w:rPr>
          <w:rFonts w:hint="eastAsia" w:ascii="宋体" w:hAnsi="宋体" w:cs="宋体"/>
          <w:sz w:val="22"/>
        </w:rPr>
        <w:t>以评定分离的项目按照《深圳市政府采购评标定标分离管理暂行办法》设置评标方法。</w:t>
      </w:r>
    </w:p>
    <w:p>
      <w:pPr>
        <w:numPr>
          <w:ilvl w:val="1"/>
          <w:numId w:val="13"/>
        </w:numPr>
        <w:ind w:left="950" w:hanging="950" w:hangingChars="432"/>
        <w:rPr>
          <w:rFonts w:ascii="宋体" w:hAnsi="宋体" w:cs="宋体"/>
          <w:sz w:val="22"/>
        </w:rPr>
      </w:pPr>
      <w:r>
        <w:rPr>
          <w:rFonts w:hint="eastAsia" w:ascii="宋体" w:hAnsi="宋体" w:cs="宋体"/>
          <w:sz w:val="22"/>
        </w:rPr>
        <w:t>其他评标方法根据主管部门相关规定执行。</w:t>
      </w:r>
    </w:p>
    <w:p>
      <w:pPr>
        <w:numPr>
          <w:ilvl w:val="1"/>
          <w:numId w:val="13"/>
        </w:numPr>
        <w:ind w:left="950" w:hanging="950" w:hangingChars="432"/>
        <w:rPr>
          <w:rFonts w:ascii="宋体" w:hAnsi="宋体" w:cs="宋体"/>
          <w:sz w:val="22"/>
        </w:rPr>
      </w:pPr>
      <w:r>
        <w:rPr>
          <w:rFonts w:hint="eastAsia" w:ascii="宋体" w:hAnsi="宋体" w:cs="宋体"/>
          <w:sz w:val="22"/>
        </w:rPr>
        <w:t>本项目采用的评标方法</w:t>
      </w:r>
      <w:bookmarkEnd w:id="217"/>
      <w:r>
        <w:rPr>
          <w:rFonts w:hint="eastAsia" w:ascii="宋体" w:hAnsi="宋体" w:cs="宋体"/>
          <w:sz w:val="22"/>
        </w:rPr>
        <w:t>详见采购文件关键信息的相关内容。</w:t>
      </w:r>
    </w:p>
    <w:p>
      <w:r>
        <w:br w:type="page"/>
      </w:r>
    </w:p>
    <w:p/>
    <w:p/>
    <w:p/>
    <w:p/>
    <w:p/>
    <w:p/>
    <w:p/>
    <w:p/>
    <w:p/>
    <w:p/>
    <w:p/>
    <w:p/>
    <w:p/>
    <w:p/>
    <w:p/>
    <w:p>
      <w:pPr>
        <w:pStyle w:val="5"/>
        <w:rPr>
          <w:szCs w:val="28"/>
        </w:rPr>
      </w:pPr>
      <w:r>
        <w:rPr>
          <w:b w:val="0"/>
          <w:bCs/>
          <w:kern w:val="28"/>
          <w:sz w:val="44"/>
          <w:szCs w:val="44"/>
        </w:rPr>
        <w:t>第八章  定标及公示</w:t>
      </w:r>
      <w:r>
        <w:rPr>
          <w:b w:val="0"/>
          <w:bCs/>
          <w:kern w:val="28"/>
          <w:sz w:val="44"/>
          <w:szCs w:val="44"/>
        </w:rPr>
        <w:br w:type="page"/>
      </w:r>
    </w:p>
    <w:p/>
    <w:p>
      <w:pPr>
        <w:numPr>
          <w:ilvl w:val="0"/>
          <w:numId w:val="12"/>
        </w:numPr>
        <w:ind w:left="950" w:hanging="950" w:hangingChars="432"/>
        <w:rPr>
          <w:rFonts w:ascii="宋体" w:hAnsi="宋体" w:cs="宋体"/>
          <w:sz w:val="22"/>
        </w:rPr>
      </w:pPr>
      <w:r>
        <w:rPr>
          <w:rFonts w:hint="eastAsia" w:ascii="宋体" w:hAnsi="宋体" w:cs="宋体"/>
          <w:sz w:val="22"/>
        </w:rPr>
        <w:t>定标方法</w:t>
      </w:r>
    </w:p>
    <w:p>
      <w:pPr>
        <w:numPr>
          <w:ilvl w:val="1"/>
          <w:numId w:val="13"/>
        </w:numPr>
        <w:ind w:left="950" w:hanging="950" w:hangingChars="432"/>
        <w:rPr>
          <w:rFonts w:ascii="宋体" w:hAnsi="宋体" w:cs="宋体"/>
          <w:sz w:val="22"/>
        </w:rPr>
      </w:pPr>
      <w:r>
        <w:rPr>
          <w:rFonts w:hint="eastAsia" w:ascii="宋体" w:hAnsi="宋体" w:cs="宋体"/>
          <w:sz w:val="22"/>
        </w:rPr>
        <w:t>评审委员会依据本项目采购文件所约定的评标方法进行评审和比较，向政府采购代理机构提交书面评标报告，并根据评标方法比较评价结果从优到劣进行排序，并推荐中标候选人或确定中标供应商；</w:t>
      </w:r>
    </w:p>
    <w:p>
      <w:pPr>
        <w:numPr>
          <w:ilvl w:val="1"/>
          <w:numId w:val="13"/>
        </w:numPr>
        <w:ind w:left="950" w:hanging="950" w:hangingChars="432"/>
        <w:rPr>
          <w:rFonts w:ascii="宋体" w:hAnsi="宋体" w:cs="宋体"/>
          <w:sz w:val="22"/>
        </w:rPr>
      </w:pPr>
      <w:r>
        <w:rPr>
          <w:rFonts w:hint="eastAsia" w:ascii="宋体" w:hAnsi="宋体" w:cs="宋体"/>
          <w:sz w:val="22"/>
        </w:rPr>
        <w:t>采用最低评标价法的，按投标报价由低到高顺序排列，投标报价相同的，按技术指标优劣顺序排列。评审委员会认为，排在前面的供应商的最低投标报价或者某些分项报价明显不合理或者低于成本，有可能影响商品质量和不能诚信履约的，应当要求其在规定的期限内提供书面文件予以解释说明，并提交相关证明材料；否则，评审委员会可以取消该投标供应商的中标资格，按顺序由排在后面的供应商递补，以此类推。对是否满足实质性要求或报价是否合理或是否低于成本，评委会意见不一致时，按少数服从多数原则作出决定。</w:t>
      </w:r>
    </w:p>
    <w:p>
      <w:pPr>
        <w:numPr>
          <w:ilvl w:val="1"/>
          <w:numId w:val="13"/>
        </w:numPr>
        <w:ind w:left="950" w:hanging="950" w:hangingChars="432"/>
        <w:rPr>
          <w:rFonts w:ascii="宋体" w:hAnsi="宋体" w:cs="宋体"/>
          <w:sz w:val="22"/>
        </w:rPr>
      </w:pPr>
      <w:r>
        <w:rPr>
          <w:rFonts w:hint="eastAsia" w:ascii="宋体" w:hAnsi="宋体" w:cs="宋体"/>
          <w:sz w:val="22"/>
        </w:rPr>
        <w:t>采用综合评分法的，按评审后得分由高到低顺序排列。得分相同的，按投标报价由低到高顺序排列。得分且投标报价相同的，按技术指标优劣顺序排列。</w:t>
      </w:r>
    </w:p>
    <w:p>
      <w:pPr>
        <w:numPr>
          <w:ilvl w:val="1"/>
          <w:numId w:val="13"/>
        </w:numPr>
        <w:ind w:left="950" w:hanging="950" w:hangingChars="432"/>
        <w:rPr>
          <w:rFonts w:ascii="宋体" w:hAnsi="宋体" w:cs="宋体"/>
          <w:sz w:val="22"/>
        </w:rPr>
      </w:pPr>
      <w:r>
        <w:rPr>
          <w:rFonts w:hint="eastAsia" w:ascii="宋体" w:hAnsi="宋体" w:cs="宋体"/>
          <w:sz w:val="22"/>
        </w:rPr>
        <w:t>采用性价比法的，按商数得分由高到低顺序排列。商数得分相同的，按投标报价由低到高顺序排列。商数得分且投标报价相同的，按技术指标优劣顺序排列。</w:t>
      </w:r>
    </w:p>
    <w:p>
      <w:pPr>
        <w:numPr>
          <w:ilvl w:val="1"/>
          <w:numId w:val="13"/>
        </w:numPr>
        <w:ind w:left="950" w:hanging="950" w:hangingChars="432"/>
        <w:rPr>
          <w:rFonts w:ascii="宋体" w:hAnsi="宋体" w:cs="宋体"/>
          <w:sz w:val="22"/>
        </w:rPr>
      </w:pPr>
      <w:r>
        <w:rPr>
          <w:rFonts w:hint="eastAsia" w:ascii="宋体" w:hAnsi="宋体" w:cs="宋体"/>
          <w:sz w:val="22"/>
        </w:rPr>
        <w:t>本项目采用的定标方法详见采购文件关键信息的相关内容。</w:t>
      </w:r>
    </w:p>
    <w:p>
      <w:pPr>
        <w:ind w:left="907"/>
        <w:rPr>
          <w:rFonts w:ascii="宋体" w:hAnsi="宋体" w:cs="宋体"/>
          <w:sz w:val="22"/>
        </w:rPr>
      </w:pPr>
    </w:p>
    <w:p>
      <w:pPr>
        <w:numPr>
          <w:ilvl w:val="0"/>
          <w:numId w:val="12"/>
        </w:numPr>
        <w:ind w:left="950" w:hanging="950" w:hangingChars="432"/>
        <w:rPr>
          <w:rFonts w:ascii="宋体" w:hAnsi="宋体" w:cs="宋体"/>
          <w:sz w:val="22"/>
        </w:rPr>
      </w:pPr>
      <w:bookmarkStart w:id="218" w:name="_Toc100052404"/>
      <w:r>
        <w:rPr>
          <w:rFonts w:hint="eastAsia" w:ascii="宋体" w:hAnsi="宋体" w:cs="宋体"/>
          <w:sz w:val="22"/>
        </w:rPr>
        <w:t>编写评标报告</w:t>
      </w:r>
      <w:bookmarkEnd w:id="218"/>
    </w:p>
    <w:p>
      <w:pPr>
        <w:numPr>
          <w:ilvl w:val="1"/>
          <w:numId w:val="13"/>
        </w:numPr>
        <w:ind w:left="950" w:hanging="950" w:hangingChars="432"/>
        <w:rPr>
          <w:rFonts w:ascii="宋体" w:hAnsi="宋体" w:cs="宋体"/>
          <w:sz w:val="22"/>
        </w:rPr>
      </w:pPr>
      <w:r>
        <w:rPr>
          <w:rFonts w:hint="eastAsia" w:ascii="宋体" w:hAnsi="宋体" w:cs="宋体"/>
          <w:sz w:val="22"/>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在案。</w:t>
      </w:r>
    </w:p>
    <w:p>
      <w:pPr>
        <w:ind w:left="907"/>
        <w:rPr>
          <w:rFonts w:ascii="宋体" w:hAnsi="宋体" w:cs="宋体"/>
          <w:sz w:val="22"/>
        </w:rPr>
      </w:pPr>
    </w:p>
    <w:p>
      <w:pPr>
        <w:numPr>
          <w:ilvl w:val="0"/>
          <w:numId w:val="12"/>
        </w:numPr>
        <w:ind w:left="950" w:hanging="950" w:hangingChars="432"/>
        <w:rPr>
          <w:rFonts w:ascii="宋体" w:hAnsi="宋体" w:cs="宋体"/>
          <w:sz w:val="22"/>
        </w:rPr>
      </w:pPr>
      <w:bookmarkStart w:id="219" w:name="_Toc100052405"/>
      <w:bookmarkStart w:id="220" w:name="_Toc73518159"/>
      <w:bookmarkStart w:id="221" w:name="_Toc73521676"/>
      <w:bookmarkStart w:id="222" w:name="_Toc73521588"/>
      <w:bookmarkStart w:id="223" w:name="_Toc73517681"/>
      <w:r>
        <w:rPr>
          <w:rFonts w:hint="eastAsia" w:ascii="宋体" w:hAnsi="宋体" w:cs="宋体"/>
          <w:sz w:val="22"/>
        </w:rPr>
        <w:t>中标公告</w:t>
      </w:r>
      <w:bookmarkEnd w:id="219"/>
    </w:p>
    <w:p>
      <w:pPr>
        <w:numPr>
          <w:ilvl w:val="1"/>
          <w:numId w:val="13"/>
        </w:numPr>
        <w:ind w:left="950" w:hanging="950" w:hangingChars="432"/>
        <w:rPr>
          <w:rFonts w:ascii="宋体" w:hAnsi="宋体" w:cs="宋体"/>
          <w:sz w:val="22"/>
        </w:rPr>
      </w:pPr>
      <w:r>
        <w:rPr>
          <w:rFonts w:hint="eastAsia" w:ascii="宋体" w:hAnsi="宋体" w:cs="宋体"/>
          <w:sz w:val="22"/>
        </w:rPr>
        <w:t>为体现“公开、公平、公正”的原则，评标结束后，</w:t>
      </w:r>
      <w:r>
        <w:rPr>
          <w:rFonts w:hint="eastAsia" w:ascii="宋体" w:hAnsi="宋体" w:cs="宋体"/>
          <w:sz w:val="22"/>
          <w:lang w:val="en-US" w:eastAsia="zh-CN"/>
        </w:rPr>
        <w:t>深圳市第二人民医院</w:t>
      </w:r>
      <w:r>
        <w:rPr>
          <w:rFonts w:hint="eastAsia" w:ascii="宋体" w:hAnsi="宋体" w:cs="宋体"/>
          <w:sz w:val="22"/>
        </w:rPr>
        <w:t>将在</w:t>
      </w:r>
      <w:r>
        <w:rPr>
          <w:rFonts w:hint="eastAsia" w:ascii="宋体" w:hAnsi="宋体" w:cs="宋体"/>
          <w:sz w:val="22"/>
          <w:lang w:val="en-US" w:eastAsia="zh-CN"/>
        </w:rPr>
        <w:t>官网</w:t>
      </w:r>
      <w:r>
        <w:rPr>
          <w:rFonts w:hint="eastAsia" w:ascii="宋体" w:hAnsi="宋体" w:cs="宋体"/>
          <w:sz w:val="22"/>
        </w:rPr>
        <w:t>(http：//www.</w:t>
      </w:r>
      <w:r>
        <w:rPr>
          <w:rFonts w:hint="eastAsia" w:ascii="宋体" w:hAnsi="宋体" w:cs="宋体"/>
          <w:sz w:val="22"/>
          <w:lang w:val="en-US" w:eastAsia="zh-CN"/>
        </w:rPr>
        <w:t>szrch</w:t>
      </w:r>
      <w:r>
        <w:rPr>
          <w:rFonts w:hint="eastAsia" w:ascii="宋体" w:hAnsi="宋体" w:cs="宋体"/>
          <w:sz w:val="22"/>
        </w:rPr>
        <w:t>.com</w:t>
      </w:r>
      <w:r>
        <w:rPr>
          <w:rFonts w:hint="eastAsia" w:ascii="宋体" w:hAnsi="宋体" w:cs="宋体"/>
          <w:sz w:val="22"/>
          <w:lang w:val="en-US" w:eastAsia="zh-CN"/>
        </w:rPr>
        <w:t>/</w:t>
      </w:r>
      <w:r>
        <w:rPr>
          <w:rFonts w:hint="eastAsia" w:ascii="宋体" w:hAnsi="宋体" w:cs="宋体"/>
          <w:sz w:val="22"/>
        </w:rPr>
        <w:t>)及其他指定媒体上发布中标结果公告，公示期为三日。供应商如对评标结果有异议，请于公示期内，以书面或网上形式向采购代理机构反映。若在公示期内未提出异议，则视为认同该评标结果。</w:t>
      </w:r>
    </w:p>
    <w:p>
      <w:pPr>
        <w:numPr>
          <w:ilvl w:val="1"/>
          <w:numId w:val="13"/>
        </w:numPr>
        <w:ind w:left="950" w:hanging="950" w:hangingChars="432"/>
        <w:rPr>
          <w:rFonts w:ascii="宋体" w:hAnsi="宋体" w:cs="宋体"/>
          <w:sz w:val="22"/>
        </w:rPr>
      </w:pPr>
      <w:r>
        <w:rPr>
          <w:rFonts w:hint="eastAsia" w:ascii="宋体" w:hAnsi="宋体" w:cs="宋体"/>
          <w:sz w:val="22"/>
        </w:rPr>
        <w:t>质疑投诉人应保证质疑投诉内容的真实性和可靠性，并承担相应的法律责任。</w:t>
      </w:r>
    </w:p>
    <w:p>
      <w:pPr>
        <w:ind w:left="907"/>
        <w:rPr>
          <w:rFonts w:ascii="宋体" w:hAnsi="宋体" w:cs="宋体"/>
          <w:sz w:val="22"/>
        </w:rPr>
      </w:pPr>
    </w:p>
    <w:p>
      <w:pPr>
        <w:numPr>
          <w:ilvl w:val="0"/>
          <w:numId w:val="12"/>
        </w:numPr>
        <w:ind w:left="950" w:hanging="950" w:hangingChars="432"/>
        <w:rPr>
          <w:rFonts w:ascii="宋体" w:hAnsi="宋体" w:cs="宋体"/>
          <w:sz w:val="22"/>
        </w:rPr>
      </w:pPr>
      <w:bookmarkStart w:id="224" w:name="_Toc100052406"/>
      <w:r>
        <w:rPr>
          <w:rFonts w:hint="eastAsia" w:ascii="宋体" w:hAnsi="宋体" w:cs="宋体"/>
          <w:sz w:val="22"/>
        </w:rPr>
        <w:t>中标通知书</w:t>
      </w:r>
      <w:bookmarkEnd w:id="224"/>
    </w:p>
    <w:bookmarkEnd w:id="220"/>
    <w:bookmarkEnd w:id="221"/>
    <w:bookmarkEnd w:id="222"/>
    <w:bookmarkEnd w:id="223"/>
    <w:p>
      <w:pPr>
        <w:numPr>
          <w:ilvl w:val="1"/>
          <w:numId w:val="13"/>
        </w:numPr>
        <w:ind w:left="950" w:hanging="950" w:hangingChars="432"/>
        <w:rPr>
          <w:rFonts w:ascii="宋体" w:hAnsi="宋体" w:cs="宋体"/>
          <w:sz w:val="22"/>
        </w:rPr>
      </w:pPr>
      <w:r>
        <w:rPr>
          <w:rFonts w:hint="eastAsia" w:ascii="宋体" w:hAnsi="宋体" w:cs="宋体"/>
          <w:sz w:val="22"/>
        </w:rPr>
        <w:t>中标公告公布以后，公示期内无人质疑投诉，采购代理机构将向中标人发出《中标通知书》。中标人领取中标通知书前须缴纳服务费。</w:t>
      </w:r>
    </w:p>
    <w:p>
      <w:pPr>
        <w:numPr>
          <w:ilvl w:val="1"/>
          <w:numId w:val="13"/>
        </w:numPr>
        <w:ind w:left="950" w:hanging="950" w:hangingChars="432"/>
        <w:rPr>
          <w:rFonts w:ascii="宋体" w:hAnsi="宋体" w:cs="宋体"/>
          <w:sz w:val="22"/>
        </w:rPr>
      </w:pPr>
      <w:r>
        <w:rPr>
          <w:rFonts w:hint="eastAsia" w:ascii="宋体" w:hAnsi="宋体" w:cs="宋体"/>
          <w:sz w:val="22"/>
        </w:rPr>
        <w:t>中标通知书是合同的重要组成部分。</w:t>
      </w:r>
    </w:p>
    <w:p>
      <w:pPr>
        <w:numPr>
          <w:ilvl w:val="1"/>
          <w:numId w:val="13"/>
        </w:numPr>
        <w:ind w:left="950" w:hanging="950" w:hangingChars="432"/>
        <w:rPr>
          <w:rFonts w:ascii="宋体" w:hAnsi="宋体" w:cs="宋体"/>
          <w:sz w:val="22"/>
        </w:rPr>
      </w:pPr>
      <w:r>
        <w:rPr>
          <w:rFonts w:hint="eastAsia" w:ascii="宋体" w:hAnsi="宋体" w:cs="宋体"/>
          <w:sz w:val="22"/>
        </w:rPr>
        <w:t>因质疑投诉或其它原因导致项目结果变更或采购终止的，采购代理机构有权收回中标通知书或终止采购合同。</w:t>
      </w:r>
    </w:p>
    <w:p>
      <w:bookmarkStart w:id="225" w:name="bt合同的授予"/>
      <w:bookmarkEnd w:id="225"/>
      <w:bookmarkStart w:id="226" w:name="_Toc101074884"/>
      <w:bookmarkStart w:id="227" w:name="_Toc73517678"/>
      <w:bookmarkStart w:id="228" w:name="_Toc73518156"/>
      <w:bookmarkStart w:id="229" w:name="_Toc100052407"/>
    </w:p>
    <w:p>
      <w:r>
        <w:br w:type="page"/>
      </w:r>
    </w:p>
    <w:p/>
    <w:p/>
    <w:p/>
    <w:p/>
    <w:p/>
    <w:p/>
    <w:p/>
    <w:p/>
    <w:p/>
    <w:p/>
    <w:p/>
    <w:p/>
    <w:p/>
    <w:p/>
    <w:p/>
    <w:p>
      <w:pPr>
        <w:pStyle w:val="5"/>
        <w:rPr>
          <w:szCs w:val="28"/>
        </w:rPr>
      </w:pPr>
      <w:r>
        <w:rPr>
          <w:b w:val="0"/>
          <w:bCs/>
          <w:kern w:val="28"/>
          <w:sz w:val="44"/>
          <w:szCs w:val="44"/>
        </w:rPr>
        <w:t>第九章  公开招标失败的后续处理</w:t>
      </w:r>
      <w:r>
        <w:rPr>
          <w:b w:val="0"/>
          <w:bCs/>
          <w:kern w:val="28"/>
          <w:sz w:val="44"/>
          <w:szCs w:val="44"/>
        </w:rPr>
        <w:br w:type="page"/>
      </w:r>
    </w:p>
    <w:p/>
    <w:p>
      <w:pPr>
        <w:numPr>
          <w:ilvl w:val="0"/>
          <w:numId w:val="12"/>
        </w:numPr>
        <w:spacing w:line="360" w:lineRule="auto"/>
        <w:rPr>
          <w:rFonts w:ascii="宋体" w:hAnsi="宋体" w:cs="宋体"/>
          <w:sz w:val="22"/>
        </w:rPr>
      </w:pPr>
      <w:r>
        <w:rPr>
          <w:rFonts w:hint="eastAsia" w:ascii="宋体" w:hAnsi="宋体" w:cs="宋体"/>
          <w:sz w:val="22"/>
        </w:rPr>
        <w:t>公开招标失败的处理</w:t>
      </w:r>
    </w:p>
    <w:p>
      <w:pPr>
        <w:numPr>
          <w:ilvl w:val="1"/>
          <w:numId w:val="13"/>
        </w:numPr>
        <w:ind w:left="950" w:hanging="950" w:hangingChars="432"/>
        <w:rPr>
          <w:rFonts w:ascii="宋体" w:hAnsi="宋体" w:cs="宋体"/>
          <w:sz w:val="22"/>
        </w:rPr>
      </w:pPr>
      <w:r>
        <w:rPr>
          <w:rFonts w:hint="eastAsia" w:ascii="宋体" w:hAnsi="宋体" w:cs="宋体"/>
          <w:sz w:val="22"/>
        </w:rPr>
        <w:t>本项目公开招标过程中若由于投标截止后实际递交投标文件的供应商数量不足、经评审委员会评审对采购文件作实质响应的供应商不足等原因造成公开招标失败，可由政府采购代理机构重新组织采购。</w:t>
      </w:r>
    </w:p>
    <w:p>
      <w:pPr>
        <w:numPr>
          <w:ilvl w:val="1"/>
          <w:numId w:val="13"/>
        </w:numPr>
        <w:ind w:left="950" w:hanging="950" w:hangingChars="432"/>
        <w:rPr>
          <w:rFonts w:ascii="宋体" w:hAnsi="宋体" w:cs="宋体"/>
          <w:sz w:val="22"/>
        </w:rPr>
      </w:pPr>
      <w:r>
        <w:rPr>
          <w:rFonts w:hint="eastAsia" w:ascii="宋体" w:hAnsi="宋体" w:cs="宋体"/>
          <w:sz w:val="22"/>
        </w:rPr>
        <w:t>对公开招标失败的项目，评审委员会在出具该项目招标失败结论的同时，提出重新采购组织形式的建议，以及进一步完善采购文件的资格、技术、商务要求的修改建议。</w:t>
      </w:r>
    </w:p>
    <w:p>
      <w:pPr>
        <w:numPr>
          <w:ilvl w:val="1"/>
          <w:numId w:val="13"/>
        </w:numPr>
        <w:ind w:left="950" w:hanging="950" w:hangingChars="432"/>
        <w:rPr>
          <w:rFonts w:ascii="宋体" w:hAnsi="宋体" w:cs="宋体"/>
          <w:sz w:val="22"/>
        </w:rPr>
      </w:pPr>
      <w:r>
        <w:rPr>
          <w:rFonts w:hint="eastAsia" w:ascii="宋体" w:hAnsi="宋体" w:cs="宋体"/>
          <w:sz w:val="22"/>
        </w:rPr>
        <w:t>重新组织采购有以下两种组织形式：</w:t>
      </w:r>
    </w:p>
    <w:p>
      <w:pPr>
        <w:numPr>
          <w:ilvl w:val="2"/>
          <w:numId w:val="17"/>
        </w:numPr>
        <w:rPr>
          <w:rFonts w:ascii="宋体" w:hAnsi="宋体" w:cs="宋体"/>
          <w:sz w:val="22"/>
        </w:rPr>
      </w:pPr>
      <w:r>
        <w:rPr>
          <w:rFonts w:hint="eastAsia" w:ascii="宋体" w:hAnsi="宋体" w:cs="宋体"/>
          <w:sz w:val="22"/>
        </w:rPr>
        <w:t>由政府采购代理机构重新组织公开招标；</w:t>
      </w:r>
    </w:p>
    <w:p>
      <w:pPr>
        <w:numPr>
          <w:ilvl w:val="2"/>
          <w:numId w:val="17"/>
        </w:numPr>
        <w:rPr>
          <w:rFonts w:ascii="宋体" w:hAnsi="宋体" w:cs="宋体"/>
          <w:sz w:val="22"/>
        </w:rPr>
      </w:pPr>
      <w:r>
        <w:rPr>
          <w:rFonts w:hint="eastAsia" w:ascii="宋体" w:hAnsi="宋体" w:cs="宋体"/>
          <w:sz w:val="22"/>
        </w:rPr>
        <w:t>根据实际情况需要向政府采购监督管理部门提出非公开招标方式申请，经政府采购监督管理部门批准公开招标失败采购项目可转为竞争性谈判或单一来源谈判方式采购。</w:t>
      </w:r>
    </w:p>
    <w:p>
      <w:pPr>
        <w:numPr>
          <w:ilvl w:val="1"/>
          <w:numId w:val="13"/>
        </w:numPr>
        <w:ind w:left="950" w:hanging="950" w:hangingChars="432"/>
        <w:rPr>
          <w:rFonts w:ascii="宋体" w:hAnsi="宋体" w:cs="宋体"/>
          <w:sz w:val="22"/>
        </w:rPr>
      </w:pPr>
      <w:r>
        <w:rPr>
          <w:rFonts w:hint="eastAsia" w:ascii="宋体" w:hAnsi="宋体" w:cs="宋体"/>
          <w:sz w:val="22"/>
        </w:rPr>
        <w:t>公开招标失败的采购项目重新组织公开招标，政府采购代理机构要重新按公开招标流程发布采购公告和采购文件、组成评审委员会等组织采购活动。</w:t>
      </w:r>
    </w:p>
    <w:p>
      <w:pPr>
        <w:numPr>
          <w:ilvl w:val="1"/>
          <w:numId w:val="13"/>
        </w:numPr>
        <w:ind w:left="950" w:hanging="950" w:hangingChars="432"/>
        <w:rPr>
          <w:rFonts w:ascii="宋体" w:hAnsi="宋体" w:cs="宋体"/>
          <w:sz w:val="22"/>
        </w:rPr>
      </w:pPr>
      <w:r>
        <w:rPr>
          <w:rFonts w:hint="eastAsia" w:ascii="宋体" w:hAnsi="宋体" w:cs="宋体"/>
          <w:sz w:val="22"/>
        </w:rPr>
        <w:t>公开招标失败的采购项目经政府采购监督管理部门批准转为竞争性谈判或单一来源谈判方式采购的，可不另行制作谈判文件，政府采购代理机构可就原采购文件中资格、技术及评标方法等变动情况向拟谈判对象发出谈判邀请。谈判邀请文件与原采购文件具同等效力，变动部分以谈判邀请文件为准。转为竞争性谈判或单一来源谈判方式采购的，供应商的原投标文件转为谈判应答文件。</w:t>
      </w:r>
    </w:p>
    <w:p>
      <w:pPr>
        <w:ind w:left="907"/>
        <w:rPr>
          <w:rFonts w:ascii="宋体" w:hAnsi="宋体" w:cs="宋体"/>
          <w:sz w:val="22"/>
        </w:rPr>
      </w:pPr>
    </w:p>
    <w:p>
      <w:pPr>
        <w:numPr>
          <w:ilvl w:val="0"/>
          <w:numId w:val="12"/>
        </w:numPr>
        <w:rPr>
          <w:rFonts w:ascii="宋体" w:hAnsi="宋体" w:cs="宋体"/>
          <w:sz w:val="22"/>
        </w:rPr>
      </w:pPr>
      <w:r>
        <w:rPr>
          <w:rFonts w:hint="eastAsia" w:ascii="宋体" w:hAnsi="宋体" w:cs="宋体"/>
          <w:sz w:val="22"/>
        </w:rPr>
        <w:t>公开招标失败项目转为竞争性谈判方式采购的</w:t>
      </w:r>
    </w:p>
    <w:p>
      <w:pPr>
        <w:numPr>
          <w:ilvl w:val="1"/>
          <w:numId w:val="13"/>
        </w:numPr>
        <w:ind w:left="950" w:hanging="950" w:hangingChars="432"/>
        <w:rPr>
          <w:rFonts w:ascii="宋体" w:hAnsi="宋体" w:cs="宋体"/>
          <w:sz w:val="22"/>
        </w:rPr>
      </w:pPr>
      <w:r>
        <w:rPr>
          <w:rFonts w:hint="eastAsia" w:ascii="宋体" w:hAnsi="宋体" w:cs="宋体"/>
          <w:sz w:val="22"/>
        </w:rPr>
        <w:t>谈判文件</w:t>
      </w:r>
    </w:p>
    <w:p>
      <w:pPr>
        <w:numPr>
          <w:ilvl w:val="2"/>
          <w:numId w:val="17"/>
        </w:numPr>
        <w:rPr>
          <w:rFonts w:ascii="宋体" w:hAnsi="宋体" w:cs="宋体"/>
          <w:sz w:val="22"/>
        </w:rPr>
      </w:pPr>
      <w:r>
        <w:rPr>
          <w:rFonts w:hint="eastAsia" w:ascii="宋体" w:hAnsi="宋体" w:cs="宋体"/>
          <w:sz w:val="22"/>
        </w:rPr>
        <w:t>公开招标失败项目转为竞争性谈判方式采购的，原采购文件转为谈判文件。</w:t>
      </w:r>
    </w:p>
    <w:p>
      <w:pPr>
        <w:numPr>
          <w:ilvl w:val="1"/>
          <w:numId w:val="13"/>
        </w:numPr>
        <w:ind w:left="950" w:hanging="950" w:hangingChars="432"/>
        <w:rPr>
          <w:rFonts w:ascii="宋体" w:hAnsi="宋体" w:cs="宋体"/>
          <w:sz w:val="22"/>
        </w:rPr>
      </w:pPr>
      <w:r>
        <w:rPr>
          <w:rFonts w:hint="eastAsia" w:ascii="宋体" w:hAnsi="宋体" w:cs="宋体"/>
          <w:sz w:val="22"/>
        </w:rPr>
        <w:t>谈判小组</w:t>
      </w:r>
    </w:p>
    <w:p>
      <w:pPr>
        <w:numPr>
          <w:ilvl w:val="2"/>
          <w:numId w:val="17"/>
        </w:numPr>
        <w:rPr>
          <w:rFonts w:ascii="宋体" w:hAnsi="宋体" w:cs="宋体"/>
          <w:sz w:val="22"/>
        </w:rPr>
      </w:pPr>
      <w:r>
        <w:rPr>
          <w:rFonts w:hint="eastAsia" w:ascii="宋体" w:hAnsi="宋体" w:cs="宋体"/>
          <w:sz w:val="22"/>
        </w:rPr>
        <w:t>公开招标失败项目转为竞争性谈判方式采购后，评审委员会转为谈判小组；专家可重新抽取也可继续采用评审委员会内专家。</w:t>
      </w:r>
    </w:p>
    <w:p>
      <w:pPr>
        <w:numPr>
          <w:ilvl w:val="2"/>
          <w:numId w:val="17"/>
        </w:numPr>
        <w:rPr>
          <w:rFonts w:ascii="宋体" w:hAnsi="宋体" w:cs="宋体"/>
          <w:sz w:val="22"/>
        </w:rPr>
      </w:pPr>
      <w:r>
        <w:rPr>
          <w:rFonts w:hint="eastAsia" w:ascii="宋体" w:hAnsi="宋体" w:cs="宋体"/>
          <w:sz w:val="22"/>
        </w:rPr>
        <w:t>谈判前，谈判小组将对各供应商的谈判应答文件进行审查，当谈判应答文件出现下列情况之一的将视为无效，按废标处理，不得进入谈判，具体内容见原采购文件中投标文件初审表的《资格性检查表》部分以及谈判邀请中相应的变动部分。</w:t>
      </w:r>
    </w:p>
    <w:p>
      <w:pPr>
        <w:numPr>
          <w:ilvl w:val="1"/>
          <w:numId w:val="13"/>
        </w:numPr>
        <w:ind w:left="950" w:hanging="950" w:hangingChars="432"/>
        <w:rPr>
          <w:rFonts w:ascii="宋体" w:hAnsi="宋体" w:cs="宋体"/>
          <w:sz w:val="22"/>
        </w:rPr>
      </w:pPr>
      <w:r>
        <w:rPr>
          <w:rFonts w:hint="eastAsia" w:ascii="宋体" w:hAnsi="宋体" w:cs="宋体"/>
          <w:sz w:val="22"/>
        </w:rPr>
        <w:t>谈判程序</w:t>
      </w:r>
    </w:p>
    <w:p>
      <w:pPr>
        <w:numPr>
          <w:ilvl w:val="2"/>
          <w:numId w:val="17"/>
        </w:numPr>
        <w:rPr>
          <w:rFonts w:ascii="宋体" w:hAnsi="宋体" w:cs="宋体"/>
          <w:sz w:val="22"/>
        </w:rPr>
      </w:pPr>
      <w:r>
        <w:rPr>
          <w:rFonts w:hint="eastAsia" w:ascii="宋体" w:hAnsi="宋体" w:cs="宋体"/>
          <w:sz w:val="22"/>
        </w:rPr>
        <w:t>参加谈判的供应商和谈判小组成员填写谈判登记表，并交验证明文件（法定代表人证明书、法人授权委托书、被授权的谈判代表身份证原件）。</w:t>
      </w:r>
    </w:p>
    <w:p>
      <w:pPr>
        <w:numPr>
          <w:ilvl w:val="2"/>
          <w:numId w:val="17"/>
        </w:numPr>
        <w:rPr>
          <w:rFonts w:ascii="宋体" w:hAnsi="宋体" w:cs="宋体"/>
          <w:sz w:val="22"/>
        </w:rPr>
      </w:pPr>
      <w:r>
        <w:rPr>
          <w:rFonts w:hint="eastAsia" w:ascii="宋体" w:hAnsi="宋体" w:cs="宋体"/>
          <w:sz w:val="22"/>
        </w:rPr>
        <w:t>谈判小组主持人宣布谈判规则和谈判纪律。</w:t>
      </w:r>
    </w:p>
    <w:p>
      <w:pPr>
        <w:numPr>
          <w:ilvl w:val="2"/>
          <w:numId w:val="17"/>
        </w:numPr>
        <w:rPr>
          <w:rFonts w:ascii="宋体" w:hAnsi="宋体" w:cs="宋体"/>
          <w:sz w:val="22"/>
        </w:rPr>
      </w:pPr>
      <w:r>
        <w:rPr>
          <w:rFonts w:hint="eastAsia" w:ascii="宋体" w:hAnsi="宋体" w:cs="宋体"/>
          <w:sz w:val="22"/>
        </w:rPr>
        <w:t>在谈判中，谈判小组将就以下谈判内容跟供应商进行谈判：</w:t>
      </w:r>
    </w:p>
    <w:p>
      <w:pPr>
        <w:ind w:left="907"/>
        <w:rPr>
          <w:rFonts w:ascii="宋体" w:hAnsi="宋体" w:cs="宋体"/>
          <w:sz w:val="22"/>
        </w:rPr>
      </w:pPr>
      <w:r>
        <w:rPr>
          <w:rFonts w:hint="eastAsia" w:ascii="宋体" w:hAnsi="宋体" w:cs="宋体"/>
          <w:sz w:val="22"/>
        </w:rPr>
        <w:t>（1）项目方案；</w:t>
      </w:r>
    </w:p>
    <w:p>
      <w:pPr>
        <w:ind w:left="907"/>
        <w:rPr>
          <w:rFonts w:ascii="宋体" w:hAnsi="宋体" w:cs="宋体"/>
          <w:sz w:val="22"/>
        </w:rPr>
      </w:pPr>
      <w:r>
        <w:rPr>
          <w:rFonts w:hint="eastAsia" w:ascii="宋体" w:hAnsi="宋体" w:cs="宋体"/>
          <w:sz w:val="22"/>
        </w:rPr>
        <w:t>（2）报价；</w:t>
      </w:r>
    </w:p>
    <w:p>
      <w:pPr>
        <w:ind w:left="907"/>
        <w:rPr>
          <w:rFonts w:ascii="宋体" w:hAnsi="宋体" w:cs="宋体"/>
          <w:sz w:val="22"/>
        </w:rPr>
      </w:pPr>
      <w:r>
        <w:rPr>
          <w:rFonts w:hint="eastAsia" w:ascii="宋体" w:hAnsi="宋体" w:cs="宋体"/>
          <w:sz w:val="22"/>
        </w:rPr>
        <w:t>（3）其它相关事项。</w:t>
      </w:r>
    </w:p>
    <w:p>
      <w:pPr>
        <w:ind w:left="907"/>
        <w:rPr>
          <w:rFonts w:ascii="宋体" w:hAnsi="宋体" w:cs="宋体"/>
          <w:sz w:val="22"/>
        </w:rPr>
      </w:pPr>
      <w:r>
        <w:rPr>
          <w:rFonts w:hint="eastAsia" w:ascii="宋体" w:hAnsi="宋体" w:cs="宋体"/>
          <w:sz w:val="22"/>
        </w:rPr>
        <w:t>原采购文件或谈判邀请文件有实质性变动的，谈判小组应当通过政府采购代理机构通知所有参加谈判的供应商。</w:t>
      </w:r>
    </w:p>
    <w:p>
      <w:pPr>
        <w:numPr>
          <w:ilvl w:val="2"/>
          <w:numId w:val="17"/>
        </w:numPr>
        <w:rPr>
          <w:rFonts w:ascii="宋体" w:hAnsi="宋体" w:cs="宋体"/>
          <w:sz w:val="22"/>
        </w:rPr>
      </w:pPr>
      <w:r>
        <w:rPr>
          <w:rFonts w:hint="eastAsia" w:ascii="宋体" w:hAnsi="宋体" w:cs="宋体"/>
          <w:sz w:val="22"/>
        </w:rPr>
        <w:t>谈判小组可以用书面形式要求各供应商对其谈判应答文件含义不明确的内容作必要的澄清或者说明，重要问题供应商应以书面形式进行澄清、说明。</w:t>
      </w:r>
    </w:p>
    <w:p>
      <w:pPr>
        <w:numPr>
          <w:ilvl w:val="2"/>
          <w:numId w:val="17"/>
        </w:numPr>
        <w:rPr>
          <w:rFonts w:ascii="宋体" w:hAnsi="宋体" w:cs="宋体"/>
          <w:sz w:val="22"/>
        </w:rPr>
      </w:pPr>
      <w:r>
        <w:rPr>
          <w:rFonts w:hint="eastAsia" w:ascii="宋体" w:hAnsi="宋体" w:cs="宋体"/>
          <w:sz w:val="22"/>
        </w:rPr>
        <w:t>允许供应商在谈判结束之前根据谈判小组提出的内容进行澄清、修改或完善，或对项目方案进行相应的调整。</w:t>
      </w:r>
    </w:p>
    <w:p>
      <w:pPr>
        <w:numPr>
          <w:ilvl w:val="2"/>
          <w:numId w:val="17"/>
        </w:numPr>
        <w:rPr>
          <w:rFonts w:ascii="宋体" w:hAnsi="宋体" w:cs="宋体"/>
          <w:sz w:val="22"/>
        </w:rPr>
      </w:pPr>
      <w:r>
        <w:rPr>
          <w:rFonts w:hint="eastAsia" w:ascii="宋体" w:hAnsi="宋体" w:cs="宋体"/>
          <w:sz w:val="22"/>
        </w:rPr>
        <w:t>供应商对谈判应答文件进行修改，都应形成文字材料，并经供应商谈判授权人签字认可。</w:t>
      </w:r>
    </w:p>
    <w:p>
      <w:pPr>
        <w:numPr>
          <w:ilvl w:val="2"/>
          <w:numId w:val="17"/>
        </w:numPr>
        <w:rPr>
          <w:rFonts w:ascii="宋体" w:hAnsi="宋体" w:cs="宋体"/>
          <w:sz w:val="22"/>
        </w:rPr>
      </w:pPr>
      <w:r>
        <w:rPr>
          <w:rFonts w:hint="eastAsia" w:ascii="宋体" w:hAnsi="宋体" w:cs="宋体"/>
          <w:sz w:val="22"/>
        </w:rPr>
        <w:t>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pPr>
        <w:numPr>
          <w:ilvl w:val="2"/>
          <w:numId w:val="17"/>
        </w:numPr>
        <w:rPr>
          <w:rFonts w:ascii="宋体" w:hAnsi="宋体" w:cs="宋体"/>
          <w:sz w:val="22"/>
        </w:rPr>
      </w:pPr>
      <w:r>
        <w:rPr>
          <w:rFonts w:hint="eastAsia" w:ascii="宋体" w:hAnsi="宋体" w:cs="宋体"/>
          <w:sz w:val="22"/>
        </w:rPr>
        <w:t>有下列情形之一的，该供应商的谈判结果作废标处理，具体内容见原采购文件中投标文件初审表的《符合性检查表》部分以及谈判邀请中相应的变动部分。</w:t>
      </w:r>
    </w:p>
    <w:p>
      <w:pPr>
        <w:numPr>
          <w:ilvl w:val="2"/>
          <w:numId w:val="17"/>
        </w:numPr>
        <w:rPr>
          <w:rFonts w:ascii="宋体" w:hAnsi="宋体" w:cs="宋体"/>
          <w:sz w:val="22"/>
        </w:rPr>
      </w:pPr>
      <w:r>
        <w:rPr>
          <w:rFonts w:hint="eastAsia" w:ascii="宋体" w:hAnsi="宋体" w:cs="宋体"/>
          <w:sz w:val="22"/>
        </w:rPr>
        <w:t>谈判结束后，谈判小组根据供应商提供的谈判应答文件、谈判过程中产生的相关资料，对供应商谈判应答文件进行评估与比较，提出书面评审意见。</w:t>
      </w:r>
    </w:p>
    <w:p>
      <w:pPr>
        <w:numPr>
          <w:ilvl w:val="2"/>
          <w:numId w:val="17"/>
        </w:numPr>
        <w:rPr>
          <w:rFonts w:ascii="宋体" w:hAnsi="宋体" w:cs="宋体"/>
          <w:sz w:val="22"/>
        </w:rPr>
      </w:pPr>
      <w:r>
        <w:rPr>
          <w:rFonts w:hint="eastAsia" w:ascii="宋体" w:hAnsi="宋体" w:cs="宋体"/>
          <w:sz w:val="22"/>
        </w:rPr>
        <w:t>谈判小组将对谈判过程进行记录，以存档备查。</w:t>
      </w:r>
    </w:p>
    <w:p>
      <w:pPr>
        <w:numPr>
          <w:ilvl w:val="1"/>
          <w:numId w:val="13"/>
        </w:numPr>
        <w:ind w:left="950" w:hanging="950" w:hangingChars="432"/>
        <w:rPr>
          <w:rFonts w:ascii="宋体" w:hAnsi="宋体" w:cs="宋体"/>
          <w:sz w:val="22"/>
        </w:rPr>
      </w:pPr>
      <w:r>
        <w:rPr>
          <w:rFonts w:hint="eastAsia" w:ascii="宋体" w:hAnsi="宋体" w:cs="宋体"/>
          <w:sz w:val="22"/>
        </w:rPr>
        <w:t>评标方法和定标原则</w:t>
      </w:r>
    </w:p>
    <w:p>
      <w:pPr>
        <w:numPr>
          <w:ilvl w:val="2"/>
          <w:numId w:val="17"/>
        </w:numPr>
        <w:rPr>
          <w:rFonts w:ascii="宋体" w:hAnsi="宋体" w:cs="宋体"/>
          <w:sz w:val="22"/>
        </w:rPr>
      </w:pPr>
      <w:r>
        <w:rPr>
          <w:rFonts w:hint="eastAsia" w:ascii="宋体" w:hAnsi="宋体" w:cs="宋体"/>
          <w:sz w:val="22"/>
        </w:rPr>
        <w:t>根据《政府采购货物和服务招标投标管理办法（财政部令第87号）》，竞争性谈判采购项目的评标方法要比照最低评标价法规定执行。如确因实际情况需要采用其他评标方法的，应报经同级政府采购监督管理部门批准。原采购文件若采用最低评标价法以外的评标方法，转为竞争性谈判后，评标方法应采用最低评标价法。</w:t>
      </w:r>
    </w:p>
    <w:p>
      <w:pPr>
        <w:numPr>
          <w:ilvl w:val="2"/>
          <w:numId w:val="17"/>
        </w:numPr>
        <w:rPr>
          <w:rFonts w:ascii="宋体" w:hAnsi="宋体" w:cs="宋体"/>
          <w:sz w:val="22"/>
        </w:rPr>
      </w:pPr>
      <w:r>
        <w:rPr>
          <w:rFonts w:hint="eastAsia" w:ascii="宋体" w:hAnsi="宋体" w:cs="宋体"/>
          <w:sz w:val="22"/>
        </w:rPr>
        <w:t>对公开招标失败转为竞争性谈判方式采购的项目，谈判小组对谈判应答文件进行评审和比较，综合各家供应商最终的方案、服务和投资等谈判结果并按本通用条款第37.1.1款的最低评标价法进行评审。</w:t>
      </w:r>
    </w:p>
    <w:p>
      <w:pPr>
        <w:numPr>
          <w:ilvl w:val="2"/>
          <w:numId w:val="17"/>
        </w:numPr>
        <w:rPr>
          <w:rFonts w:ascii="宋体" w:hAnsi="宋体" w:cs="宋体"/>
          <w:sz w:val="22"/>
        </w:rPr>
      </w:pPr>
      <w:r>
        <w:rPr>
          <w:rFonts w:hint="eastAsia" w:ascii="宋体" w:hAnsi="宋体" w:cs="宋体"/>
          <w:sz w:val="22"/>
        </w:rPr>
        <w:t>若要采用其他评标方法的，必须报经政府采购监督管理部门批准，谈判小组按批准的评标方法进行评审。谈判邀请文件中应注明批准的评标方法。</w:t>
      </w:r>
    </w:p>
    <w:p>
      <w:pPr>
        <w:numPr>
          <w:ilvl w:val="2"/>
          <w:numId w:val="17"/>
        </w:numPr>
        <w:rPr>
          <w:rFonts w:ascii="宋体" w:hAnsi="宋体" w:cs="宋体"/>
          <w:sz w:val="22"/>
        </w:rPr>
      </w:pPr>
      <w:r>
        <w:rPr>
          <w:rFonts w:hint="eastAsia" w:ascii="宋体" w:hAnsi="宋体" w:cs="宋体"/>
          <w:sz w:val="22"/>
        </w:rPr>
        <w:t>谈判小组向政府采购代理机构提交书面评标报告，并推荐中标候选人或确定中标供应商。</w:t>
      </w:r>
    </w:p>
    <w:p>
      <w:pPr>
        <w:ind w:left="907"/>
        <w:rPr>
          <w:rFonts w:ascii="宋体" w:hAnsi="宋体" w:cs="宋体"/>
          <w:sz w:val="22"/>
        </w:rPr>
      </w:pPr>
    </w:p>
    <w:p>
      <w:pPr>
        <w:numPr>
          <w:ilvl w:val="0"/>
          <w:numId w:val="12"/>
        </w:numPr>
        <w:rPr>
          <w:rFonts w:ascii="宋体" w:hAnsi="宋体" w:cs="宋体"/>
          <w:sz w:val="22"/>
        </w:rPr>
      </w:pPr>
      <w:r>
        <w:rPr>
          <w:rFonts w:hint="eastAsia" w:ascii="宋体" w:hAnsi="宋体" w:cs="宋体"/>
          <w:sz w:val="22"/>
        </w:rPr>
        <w:t>公开招标失败项目转为单一来源谈判方式采购</w:t>
      </w:r>
    </w:p>
    <w:p>
      <w:pPr>
        <w:numPr>
          <w:ilvl w:val="1"/>
          <w:numId w:val="13"/>
        </w:numPr>
        <w:ind w:left="950" w:hanging="950" w:hangingChars="432"/>
        <w:rPr>
          <w:rFonts w:ascii="宋体" w:hAnsi="宋体" w:cs="宋体"/>
          <w:sz w:val="22"/>
        </w:rPr>
      </w:pPr>
      <w:r>
        <w:rPr>
          <w:rFonts w:hint="eastAsia" w:ascii="宋体" w:hAnsi="宋体" w:cs="宋体"/>
          <w:sz w:val="22"/>
        </w:rPr>
        <w:t>谈判文件</w:t>
      </w:r>
    </w:p>
    <w:p>
      <w:pPr>
        <w:numPr>
          <w:ilvl w:val="2"/>
          <w:numId w:val="17"/>
        </w:numPr>
        <w:rPr>
          <w:rFonts w:ascii="宋体" w:hAnsi="宋体" w:cs="宋体"/>
          <w:sz w:val="22"/>
        </w:rPr>
      </w:pPr>
      <w:r>
        <w:rPr>
          <w:rFonts w:hint="eastAsia" w:ascii="宋体" w:hAnsi="宋体" w:cs="宋体"/>
          <w:sz w:val="22"/>
        </w:rPr>
        <w:t>公开招标失败项目转为单一来源谈判方式采购的，原采购文件转为谈判文件。</w:t>
      </w:r>
    </w:p>
    <w:p>
      <w:pPr>
        <w:numPr>
          <w:ilvl w:val="1"/>
          <w:numId w:val="13"/>
        </w:numPr>
        <w:ind w:left="950" w:hanging="950" w:hangingChars="432"/>
        <w:rPr>
          <w:rFonts w:ascii="宋体" w:hAnsi="宋体" w:cs="宋体"/>
          <w:sz w:val="22"/>
        </w:rPr>
      </w:pPr>
      <w:r>
        <w:rPr>
          <w:rFonts w:hint="eastAsia" w:ascii="宋体" w:hAnsi="宋体" w:cs="宋体"/>
          <w:sz w:val="22"/>
        </w:rPr>
        <w:t>谈判小组</w:t>
      </w:r>
    </w:p>
    <w:p>
      <w:pPr>
        <w:numPr>
          <w:ilvl w:val="2"/>
          <w:numId w:val="17"/>
        </w:numPr>
        <w:rPr>
          <w:rFonts w:ascii="宋体" w:hAnsi="宋体" w:cs="宋体"/>
          <w:sz w:val="22"/>
        </w:rPr>
      </w:pPr>
      <w:r>
        <w:rPr>
          <w:rFonts w:hint="eastAsia" w:ascii="宋体" w:hAnsi="宋体" w:cs="宋体"/>
          <w:sz w:val="22"/>
        </w:rPr>
        <w:t>公开招标失败项目转为单一来源谈判方式采购后，评审委员会转为谈判小组，专家可重新抽取也可继续采用评审委员会内专家。</w:t>
      </w:r>
    </w:p>
    <w:p>
      <w:pPr>
        <w:numPr>
          <w:ilvl w:val="2"/>
          <w:numId w:val="17"/>
        </w:numPr>
        <w:rPr>
          <w:rFonts w:ascii="宋体" w:hAnsi="宋体" w:cs="宋体"/>
          <w:sz w:val="22"/>
        </w:rPr>
      </w:pPr>
      <w:r>
        <w:rPr>
          <w:rFonts w:hint="eastAsia" w:ascii="宋体" w:hAnsi="宋体" w:cs="宋体"/>
          <w:sz w:val="22"/>
        </w:rPr>
        <w:t>谈判前，谈判小组将对单一来源供应商的谈判应答文件进行审查，当谈判应答文件出现下列情况之一的将视为无效，按废标处理，不得进入谈判，具体内容见原采购文件中投标文件初审表的《资格性检查表》部分以及谈判邀请中相应的变动部分。</w:t>
      </w:r>
    </w:p>
    <w:p>
      <w:pPr>
        <w:numPr>
          <w:ilvl w:val="1"/>
          <w:numId w:val="13"/>
        </w:numPr>
        <w:ind w:left="950" w:hanging="950" w:hangingChars="432"/>
        <w:rPr>
          <w:rFonts w:ascii="宋体" w:hAnsi="宋体" w:cs="宋体"/>
          <w:sz w:val="22"/>
        </w:rPr>
      </w:pPr>
      <w:r>
        <w:rPr>
          <w:rFonts w:hint="eastAsia" w:ascii="宋体" w:hAnsi="宋体" w:cs="宋体"/>
          <w:sz w:val="22"/>
        </w:rPr>
        <w:t>谈判程序</w:t>
      </w:r>
    </w:p>
    <w:p>
      <w:pPr>
        <w:numPr>
          <w:ilvl w:val="2"/>
          <w:numId w:val="17"/>
        </w:numPr>
        <w:rPr>
          <w:rFonts w:ascii="宋体" w:hAnsi="宋体" w:cs="宋体"/>
          <w:sz w:val="22"/>
        </w:rPr>
      </w:pPr>
      <w:r>
        <w:rPr>
          <w:rFonts w:hint="eastAsia" w:ascii="宋体" w:hAnsi="宋体" w:cs="宋体"/>
          <w:sz w:val="22"/>
        </w:rPr>
        <w:t>参加谈判的供应商和谈判小组成员填写谈判登记表，并交验证明文件（法定代表人证明书、法人授权委托书、被授权的谈判代表身份证原件）。</w:t>
      </w:r>
    </w:p>
    <w:p>
      <w:pPr>
        <w:numPr>
          <w:ilvl w:val="2"/>
          <w:numId w:val="17"/>
        </w:numPr>
        <w:rPr>
          <w:rFonts w:ascii="宋体" w:hAnsi="宋体" w:cs="宋体"/>
          <w:sz w:val="22"/>
        </w:rPr>
      </w:pPr>
      <w:r>
        <w:rPr>
          <w:rFonts w:hint="eastAsia" w:ascii="宋体" w:hAnsi="宋体" w:cs="宋体"/>
          <w:sz w:val="22"/>
        </w:rPr>
        <w:t>谈判小组主持人宣布谈判规则和谈判纪律。</w:t>
      </w:r>
    </w:p>
    <w:p>
      <w:pPr>
        <w:numPr>
          <w:ilvl w:val="2"/>
          <w:numId w:val="17"/>
        </w:numPr>
        <w:rPr>
          <w:rFonts w:ascii="宋体" w:hAnsi="宋体" w:cs="宋体"/>
          <w:sz w:val="22"/>
        </w:rPr>
      </w:pPr>
      <w:r>
        <w:rPr>
          <w:rFonts w:hint="eastAsia" w:ascii="宋体" w:hAnsi="宋体" w:cs="宋体"/>
          <w:sz w:val="22"/>
        </w:rPr>
        <w:t>在谈判中，谈判小组将就以下谈判内容跟供应商进行谈判：</w:t>
      </w:r>
    </w:p>
    <w:p>
      <w:pPr>
        <w:ind w:left="907"/>
        <w:rPr>
          <w:rFonts w:ascii="宋体" w:hAnsi="宋体" w:cs="宋体"/>
          <w:sz w:val="22"/>
        </w:rPr>
      </w:pPr>
      <w:r>
        <w:rPr>
          <w:rFonts w:hint="eastAsia" w:ascii="宋体" w:hAnsi="宋体" w:cs="宋体"/>
          <w:sz w:val="22"/>
        </w:rPr>
        <w:t>（1）项目方案；</w:t>
      </w:r>
    </w:p>
    <w:p>
      <w:pPr>
        <w:ind w:left="907"/>
        <w:rPr>
          <w:rFonts w:ascii="宋体" w:hAnsi="宋体" w:cs="宋体"/>
          <w:sz w:val="22"/>
        </w:rPr>
      </w:pPr>
      <w:r>
        <w:rPr>
          <w:rFonts w:hint="eastAsia" w:ascii="宋体" w:hAnsi="宋体" w:cs="宋体"/>
          <w:sz w:val="22"/>
        </w:rPr>
        <w:t>（2）报价；</w:t>
      </w:r>
    </w:p>
    <w:p>
      <w:pPr>
        <w:ind w:left="907"/>
        <w:rPr>
          <w:rFonts w:ascii="宋体" w:hAnsi="宋体" w:cs="宋体"/>
          <w:sz w:val="22"/>
        </w:rPr>
      </w:pPr>
      <w:r>
        <w:rPr>
          <w:rFonts w:hint="eastAsia" w:ascii="宋体" w:hAnsi="宋体" w:cs="宋体"/>
          <w:sz w:val="22"/>
        </w:rPr>
        <w:t>（3）其它相关事项。</w:t>
      </w:r>
    </w:p>
    <w:p>
      <w:pPr>
        <w:ind w:left="907"/>
        <w:rPr>
          <w:rFonts w:ascii="宋体" w:hAnsi="宋体" w:cs="宋体"/>
          <w:sz w:val="22"/>
        </w:rPr>
      </w:pPr>
      <w:r>
        <w:rPr>
          <w:rFonts w:hint="eastAsia" w:ascii="宋体" w:hAnsi="宋体" w:cs="宋体"/>
          <w:sz w:val="22"/>
        </w:rPr>
        <w:t>原采购文件或谈判邀请文件有实质性变动的，谈判小组应当通过政府采购代理机构通知供应商。</w:t>
      </w:r>
    </w:p>
    <w:p>
      <w:pPr>
        <w:numPr>
          <w:ilvl w:val="2"/>
          <w:numId w:val="17"/>
        </w:numPr>
        <w:rPr>
          <w:rFonts w:ascii="宋体" w:hAnsi="宋体" w:cs="宋体"/>
          <w:sz w:val="22"/>
        </w:rPr>
      </w:pPr>
      <w:r>
        <w:rPr>
          <w:rFonts w:hint="eastAsia" w:ascii="宋体" w:hAnsi="宋体" w:cs="宋体"/>
          <w:sz w:val="22"/>
        </w:rPr>
        <w:t>谈判小组可以用书面形式要求供应商对其谈判应答文件含义不明确的内容作必要的澄清或者说明，重要问题供应商应以书面形式进行澄清、说明。</w:t>
      </w:r>
    </w:p>
    <w:p>
      <w:pPr>
        <w:numPr>
          <w:ilvl w:val="2"/>
          <w:numId w:val="17"/>
        </w:numPr>
        <w:rPr>
          <w:rFonts w:ascii="宋体" w:hAnsi="宋体" w:cs="宋体"/>
          <w:sz w:val="22"/>
        </w:rPr>
      </w:pPr>
      <w:r>
        <w:rPr>
          <w:rFonts w:hint="eastAsia" w:ascii="宋体" w:hAnsi="宋体" w:cs="宋体"/>
          <w:sz w:val="22"/>
        </w:rPr>
        <w:t>允许供应商在谈判结束之前根据谈判小组提出的内容进行澄清、修改或完善，或对项目方案进行相应的调整。</w:t>
      </w:r>
    </w:p>
    <w:p>
      <w:pPr>
        <w:numPr>
          <w:ilvl w:val="2"/>
          <w:numId w:val="17"/>
        </w:numPr>
        <w:rPr>
          <w:rFonts w:ascii="宋体" w:hAnsi="宋体" w:cs="宋体"/>
          <w:sz w:val="22"/>
        </w:rPr>
      </w:pPr>
      <w:r>
        <w:rPr>
          <w:rFonts w:hint="eastAsia" w:ascii="宋体" w:hAnsi="宋体" w:cs="宋体"/>
          <w:sz w:val="22"/>
        </w:rPr>
        <w:t>供应商对谈判应答文件进行修改，都应形成文字材料，并经供应商谈判授权人签字认可。</w:t>
      </w:r>
    </w:p>
    <w:p>
      <w:pPr>
        <w:numPr>
          <w:ilvl w:val="2"/>
          <w:numId w:val="17"/>
        </w:numPr>
        <w:rPr>
          <w:rFonts w:ascii="宋体" w:hAnsi="宋体" w:cs="宋体"/>
          <w:sz w:val="22"/>
        </w:rPr>
      </w:pPr>
      <w:r>
        <w:rPr>
          <w:rFonts w:hint="eastAsia" w:ascii="宋体" w:hAnsi="宋体" w:cs="宋体"/>
          <w:sz w:val="22"/>
        </w:rPr>
        <w:t>谈判小组与单一来源供应商进行谈判。供应商有两次更改机会；供应商应在规定的时间内提出最后更改及书面承诺。</w:t>
      </w:r>
    </w:p>
    <w:p>
      <w:pPr>
        <w:numPr>
          <w:ilvl w:val="2"/>
          <w:numId w:val="17"/>
        </w:numPr>
        <w:rPr>
          <w:rFonts w:ascii="宋体" w:hAnsi="宋体" w:cs="宋体"/>
          <w:sz w:val="22"/>
        </w:rPr>
      </w:pPr>
      <w:r>
        <w:rPr>
          <w:rFonts w:hint="eastAsia" w:ascii="宋体" w:hAnsi="宋体" w:cs="宋体"/>
          <w:sz w:val="22"/>
        </w:rPr>
        <w:t>有下列情形之一的，供应商的谈判结果作废标处理，具体内容见原采购文件中投标文件初审表的《符合性检查表》部分以及谈判邀请中相应的变动部分。</w:t>
      </w:r>
    </w:p>
    <w:p>
      <w:pPr>
        <w:numPr>
          <w:ilvl w:val="2"/>
          <w:numId w:val="17"/>
        </w:numPr>
        <w:rPr>
          <w:rFonts w:ascii="宋体" w:hAnsi="宋体" w:cs="宋体"/>
          <w:sz w:val="22"/>
        </w:rPr>
      </w:pPr>
      <w:r>
        <w:rPr>
          <w:rFonts w:hint="eastAsia" w:ascii="宋体" w:hAnsi="宋体" w:cs="宋体"/>
          <w:sz w:val="22"/>
        </w:rPr>
        <w:t>谈判结束后，谈判小组根据供应商提供的谈判应答文件、谈判过程中产生的相关资料，对供应商谈判应答文件进行评估与比较，提出书面评审意见。</w:t>
      </w:r>
    </w:p>
    <w:p>
      <w:pPr>
        <w:numPr>
          <w:ilvl w:val="2"/>
          <w:numId w:val="17"/>
        </w:numPr>
        <w:rPr>
          <w:rFonts w:ascii="宋体" w:hAnsi="宋体" w:cs="宋体"/>
          <w:sz w:val="22"/>
        </w:rPr>
      </w:pPr>
      <w:r>
        <w:rPr>
          <w:rFonts w:hint="eastAsia" w:ascii="宋体" w:hAnsi="宋体" w:cs="宋体"/>
          <w:sz w:val="22"/>
        </w:rPr>
        <w:t>谈判小组将对谈判过程进行记录，以存档备查。</w:t>
      </w:r>
    </w:p>
    <w:p>
      <w:pPr>
        <w:numPr>
          <w:ilvl w:val="1"/>
          <w:numId w:val="13"/>
        </w:numPr>
        <w:ind w:left="950" w:hanging="950" w:hangingChars="432"/>
        <w:rPr>
          <w:rFonts w:ascii="宋体" w:hAnsi="宋体" w:cs="宋体"/>
          <w:sz w:val="22"/>
        </w:rPr>
      </w:pPr>
      <w:r>
        <w:rPr>
          <w:rFonts w:hint="eastAsia" w:ascii="宋体" w:hAnsi="宋体" w:cs="宋体"/>
          <w:sz w:val="22"/>
        </w:rPr>
        <w:t>评标方法和定标原则</w:t>
      </w:r>
    </w:p>
    <w:p>
      <w:pPr>
        <w:numPr>
          <w:ilvl w:val="2"/>
          <w:numId w:val="17"/>
        </w:numPr>
        <w:rPr>
          <w:rFonts w:ascii="宋体" w:hAnsi="宋体" w:cs="宋体"/>
          <w:sz w:val="22"/>
        </w:rPr>
      </w:pPr>
      <w:r>
        <w:rPr>
          <w:rFonts w:hint="eastAsia" w:ascii="宋体" w:hAnsi="宋体" w:cs="宋体"/>
          <w:sz w:val="22"/>
        </w:rPr>
        <w:t>单一来源谈判采用最低评标价法。原采购文件若采用最低评标价法以外的评标方法，转为单一来源谈判后，评标方法改为最低评标价法。谈判小组对谈判应答文件进行评审和比较，对供应商最终的方案、服务和投资等谈判结果按本通用条款第37.1.1的最低评标价法进行评审。</w:t>
      </w:r>
    </w:p>
    <w:p>
      <w:pPr>
        <w:numPr>
          <w:ilvl w:val="2"/>
          <w:numId w:val="17"/>
        </w:numPr>
        <w:rPr>
          <w:rFonts w:ascii="宋体" w:hAnsi="宋体" w:cs="宋体"/>
          <w:sz w:val="22"/>
        </w:rPr>
      </w:pPr>
      <w:r>
        <w:rPr>
          <w:rFonts w:hint="eastAsia" w:ascii="宋体" w:hAnsi="宋体" w:cs="宋体"/>
          <w:sz w:val="22"/>
        </w:rPr>
        <w:t>谈判小组向政府采购代理机构提交书面评标报告，并推荐中标候选人或确定中标供应商。</w:t>
      </w:r>
      <w:bookmarkEnd w:id="226"/>
      <w:bookmarkEnd w:id="227"/>
      <w:bookmarkEnd w:id="228"/>
      <w:bookmarkEnd w:id="229"/>
    </w:p>
    <w:p>
      <w:r>
        <w:br w:type="page"/>
      </w:r>
    </w:p>
    <w:p/>
    <w:p/>
    <w:p/>
    <w:p/>
    <w:p/>
    <w:p/>
    <w:p/>
    <w:p/>
    <w:p/>
    <w:p/>
    <w:p/>
    <w:p/>
    <w:p/>
    <w:p/>
    <w:p/>
    <w:p>
      <w:pPr>
        <w:pStyle w:val="5"/>
        <w:rPr>
          <w:szCs w:val="28"/>
        </w:rPr>
      </w:pPr>
      <w:r>
        <w:rPr>
          <w:b w:val="0"/>
          <w:bCs/>
          <w:kern w:val="28"/>
          <w:sz w:val="44"/>
          <w:szCs w:val="44"/>
        </w:rPr>
        <w:t>第十章  合同的授予与备案</w:t>
      </w:r>
      <w:r>
        <w:rPr>
          <w:b w:val="0"/>
          <w:bCs/>
          <w:kern w:val="28"/>
          <w:sz w:val="44"/>
          <w:szCs w:val="44"/>
        </w:rPr>
        <w:br w:type="page"/>
      </w:r>
    </w:p>
    <w:p/>
    <w:p>
      <w:pPr>
        <w:numPr>
          <w:ilvl w:val="0"/>
          <w:numId w:val="12"/>
        </w:numPr>
        <w:ind w:left="1037" w:hanging="1036" w:hangingChars="432"/>
        <w:rPr>
          <w:sz w:val="24"/>
        </w:rPr>
      </w:pPr>
      <w:bookmarkStart w:id="230" w:name="_33._合同授予标准"/>
      <w:bookmarkEnd w:id="230"/>
      <w:bookmarkStart w:id="231" w:name="_Toc73518157"/>
      <w:bookmarkStart w:id="232" w:name="_Toc73521674"/>
      <w:bookmarkStart w:id="233" w:name="_Toc100052408"/>
      <w:bookmarkStart w:id="234" w:name="_Toc73521586"/>
      <w:bookmarkStart w:id="235" w:name="_Toc73517679"/>
      <w:r>
        <w:rPr>
          <w:sz w:val="24"/>
        </w:rPr>
        <w:t>合同授予标准</w:t>
      </w:r>
      <w:bookmarkEnd w:id="231"/>
      <w:bookmarkEnd w:id="232"/>
      <w:bookmarkEnd w:id="233"/>
      <w:bookmarkEnd w:id="234"/>
      <w:bookmarkEnd w:id="235"/>
    </w:p>
    <w:p>
      <w:pPr>
        <w:numPr>
          <w:ilvl w:val="1"/>
          <w:numId w:val="13"/>
        </w:numPr>
        <w:ind w:hangingChars="432"/>
        <w:rPr>
          <w:szCs w:val="21"/>
        </w:rPr>
      </w:pPr>
      <w:r>
        <w:rPr>
          <w:szCs w:val="21"/>
        </w:rPr>
        <w:t>本项目的合同将授予按本采购文件规定评审确定的中标人。</w:t>
      </w:r>
    </w:p>
    <w:p>
      <w:pPr>
        <w:ind w:left="907"/>
        <w:rPr>
          <w:szCs w:val="21"/>
        </w:rPr>
      </w:pPr>
    </w:p>
    <w:p>
      <w:pPr>
        <w:numPr>
          <w:ilvl w:val="0"/>
          <w:numId w:val="12"/>
        </w:numPr>
        <w:ind w:left="1037" w:hanging="1036" w:hangingChars="432"/>
        <w:rPr>
          <w:sz w:val="24"/>
        </w:rPr>
      </w:pPr>
      <w:r>
        <w:rPr>
          <w:sz w:val="24"/>
        </w:rPr>
        <w:t>接受和拒绝任何或所有投标的权力</w:t>
      </w:r>
    </w:p>
    <w:p>
      <w:pPr>
        <w:numPr>
          <w:ilvl w:val="1"/>
          <w:numId w:val="13"/>
        </w:numPr>
        <w:ind w:hangingChars="432"/>
        <w:rPr>
          <w:szCs w:val="21"/>
        </w:rPr>
      </w:pPr>
      <w:r>
        <w:rPr>
          <w:szCs w:val="21"/>
        </w:rPr>
        <w:t>政府采购代理机构和采购单位保留在投标之前任何时候接受或拒绝任何投标或所有投标，以及宣布招标无效的权力，对受影响的投标人不承担任何责任，也无义务向受影响的投标人解释采取这一行动的理由。</w:t>
      </w:r>
    </w:p>
    <w:p>
      <w:pPr>
        <w:ind w:left="907"/>
        <w:rPr>
          <w:szCs w:val="21"/>
        </w:rPr>
      </w:pPr>
    </w:p>
    <w:p>
      <w:pPr>
        <w:numPr>
          <w:ilvl w:val="0"/>
          <w:numId w:val="12"/>
        </w:numPr>
        <w:ind w:left="1037" w:hanging="1036" w:hangingChars="432"/>
        <w:rPr>
          <w:sz w:val="24"/>
        </w:rPr>
      </w:pPr>
      <w:bookmarkStart w:id="236" w:name="_Toc100052410"/>
      <w:bookmarkStart w:id="237" w:name="_Toc73521589"/>
      <w:bookmarkStart w:id="238" w:name="_Toc73517682"/>
      <w:bookmarkStart w:id="239" w:name="_Toc73518160"/>
      <w:bookmarkStart w:id="240" w:name="_Toc73521677"/>
      <w:r>
        <w:rPr>
          <w:sz w:val="24"/>
        </w:rPr>
        <w:t>合同协议书的签订</w:t>
      </w:r>
      <w:bookmarkEnd w:id="236"/>
      <w:bookmarkEnd w:id="237"/>
      <w:bookmarkEnd w:id="238"/>
      <w:bookmarkEnd w:id="239"/>
      <w:bookmarkEnd w:id="240"/>
    </w:p>
    <w:p>
      <w:pPr>
        <w:numPr>
          <w:ilvl w:val="1"/>
          <w:numId w:val="13"/>
        </w:numPr>
        <w:ind w:hangingChars="432"/>
        <w:rPr>
          <w:szCs w:val="21"/>
        </w:rPr>
      </w:pPr>
      <w:r>
        <w:rPr>
          <w:szCs w:val="21"/>
        </w:rPr>
        <w:t>中标人将于中标通知书发出之日起十个工作日内，按照采购文件和投标文件内容与采购单位签订书面合同，合同书应采用本采购文件规定的合同样本；</w:t>
      </w:r>
    </w:p>
    <w:p>
      <w:pPr>
        <w:numPr>
          <w:ilvl w:val="1"/>
          <w:numId w:val="13"/>
        </w:numPr>
        <w:ind w:hangingChars="432"/>
        <w:rPr>
          <w:szCs w:val="21"/>
        </w:rPr>
      </w:pPr>
      <w:r>
        <w:rPr>
          <w:szCs w:val="21"/>
        </w:rPr>
        <w:t>中标人如不按本通用条款第47.1款的规定与采购单位签订合同，则政府采购代理机构将有充分的理由废除中标，并没收其投标保证金，给政府采购代理机构造成的损失超过投标担保数额的，还应当对超过部分予以赔偿，同时承担相应法律责任；</w:t>
      </w:r>
    </w:p>
    <w:p>
      <w:pPr>
        <w:numPr>
          <w:ilvl w:val="1"/>
          <w:numId w:val="13"/>
        </w:numPr>
        <w:ind w:hangingChars="432"/>
        <w:rPr>
          <w:szCs w:val="21"/>
        </w:rPr>
      </w:pPr>
      <w:r>
        <w:rPr>
          <w:szCs w:val="21"/>
        </w:rPr>
        <w:t>中标人应当按照合同约定履行义务，完成中标项目，不得将中标项目转让（转包）给他人；</w:t>
      </w:r>
    </w:p>
    <w:p>
      <w:pPr>
        <w:numPr>
          <w:ilvl w:val="1"/>
          <w:numId w:val="13"/>
        </w:numPr>
        <w:ind w:hangingChars="432"/>
        <w:rPr>
          <w:szCs w:val="21"/>
        </w:rPr>
      </w:pPr>
      <w:r>
        <w:rPr>
          <w:szCs w:val="21"/>
        </w:rPr>
        <w:t>采购人与中标人签订的合同必须遵守本采购文件的合同条件，并且不得更改合同条件。</w:t>
      </w:r>
    </w:p>
    <w:p>
      <w:pPr>
        <w:ind w:left="907"/>
        <w:rPr>
          <w:szCs w:val="21"/>
        </w:rPr>
      </w:pPr>
    </w:p>
    <w:p>
      <w:pPr>
        <w:numPr>
          <w:ilvl w:val="0"/>
          <w:numId w:val="12"/>
        </w:numPr>
        <w:ind w:left="1037" w:hanging="1036" w:hangingChars="432"/>
        <w:rPr>
          <w:sz w:val="24"/>
        </w:rPr>
      </w:pPr>
      <w:bookmarkStart w:id="241" w:name="_Toc73521678"/>
      <w:bookmarkStart w:id="242" w:name="_Toc73517683"/>
      <w:bookmarkStart w:id="243" w:name="_Toc73518161"/>
      <w:bookmarkStart w:id="244" w:name="_Toc100052411"/>
      <w:bookmarkStart w:id="245" w:name="_Toc73521590"/>
      <w:r>
        <w:rPr>
          <w:sz w:val="24"/>
        </w:rPr>
        <w:t>履约担保</w:t>
      </w:r>
      <w:bookmarkEnd w:id="241"/>
      <w:bookmarkEnd w:id="242"/>
      <w:bookmarkEnd w:id="243"/>
      <w:bookmarkEnd w:id="244"/>
      <w:bookmarkEnd w:id="245"/>
    </w:p>
    <w:p>
      <w:pPr>
        <w:numPr>
          <w:ilvl w:val="1"/>
          <w:numId w:val="13"/>
        </w:numPr>
        <w:ind w:hangingChars="432"/>
        <w:rPr>
          <w:szCs w:val="21"/>
        </w:rPr>
      </w:pPr>
      <w:r>
        <w:rPr>
          <w:szCs w:val="21"/>
        </w:rPr>
        <w:t>在签订项目合同的同时，中标人应按“对通用条款的补充内容”中规定的金额向采购单位提交履约保证金；</w:t>
      </w:r>
    </w:p>
    <w:p>
      <w:pPr>
        <w:numPr>
          <w:ilvl w:val="1"/>
          <w:numId w:val="13"/>
        </w:numPr>
        <w:ind w:hangingChars="432"/>
        <w:rPr>
          <w:szCs w:val="21"/>
        </w:rPr>
      </w:pPr>
      <w:r>
        <w:rPr>
          <w:szCs w:val="21"/>
        </w:rPr>
        <w:t>如果中标人不能按本通用条款第49.1款的规定执行，采购单位将有充分的理由通过政府采购监督管理部门废除中标，并没收投标保证金，给采购单位造成的损失超过投标保证金数额的，还应当对超过部分予以赔偿；</w:t>
      </w:r>
    </w:p>
    <w:p>
      <w:pPr>
        <w:numPr>
          <w:ilvl w:val="1"/>
          <w:numId w:val="13"/>
        </w:numPr>
        <w:ind w:hangingChars="432"/>
        <w:rPr>
          <w:szCs w:val="21"/>
        </w:rPr>
      </w:pPr>
      <w:r>
        <w:rPr>
          <w:szCs w:val="21"/>
        </w:rPr>
        <w:t>项目服务期满之后，经验收合格后，采购单位在七日内办理解除履约担保手续。</w:t>
      </w:r>
    </w:p>
    <w:p>
      <w:pPr>
        <w:ind w:left="907"/>
        <w:rPr>
          <w:szCs w:val="21"/>
        </w:rPr>
      </w:pPr>
    </w:p>
    <w:p>
      <w:pPr>
        <w:numPr>
          <w:ilvl w:val="0"/>
          <w:numId w:val="12"/>
        </w:numPr>
        <w:ind w:left="1037" w:hanging="1036" w:hangingChars="432"/>
        <w:rPr>
          <w:sz w:val="24"/>
        </w:rPr>
      </w:pPr>
      <w:r>
        <w:rPr>
          <w:sz w:val="24"/>
        </w:rPr>
        <w:t>招标代理服务费</w:t>
      </w:r>
    </w:p>
    <w:p>
      <w:pPr>
        <w:numPr>
          <w:ilvl w:val="1"/>
          <w:numId w:val="13"/>
        </w:numPr>
        <w:ind w:hangingChars="432"/>
        <w:rPr>
          <w:szCs w:val="21"/>
        </w:rPr>
      </w:pPr>
      <w:r>
        <w:rPr>
          <w:szCs w:val="21"/>
        </w:rPr>
        <w:t>招标代理服务费依据深财购[2018]27号文及相关规定，具体收费标准如下表：</w:t>
      </w:r>
    </w:p>
    <w:tbl>
      <w:tblPr>
        <w:tblStyle w:val="44"/>
        <w:tblW w:w="0" w:type="auto"/>
        <w:jc w:val="righ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60"/>
        <w:gridCol w:w="1984"/>
        <w:gridCol w:w="1843"/>
        <w:gridCol w:w="19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1760" w:type="dxa"/>
          </w:tcPr>
          <w:p>
            <w:r>
              <w:t>中标金额（万元）</w:t>
            </w:r>
          </w:p>
        </w:tc>
        <w:tc>
          <w:tcPr>
            <w:tcW w:w="1984" w:type="dxa"/>
            <w:vAlign w:val="center"/>
          </w:tcPr>
          <w:p>
            <w:pPr>
              <w:jc w:val="center"/>
            </w:pPr>
            <w:r>
              <w:t>货物采购</w:t>
            </w:r>
          </w:p>
        </w:tc>
        <w:tc>
          <w:tcPr>
            <w:tcW w:w="1843" w:type="dxa"/>
            <w:vAlign w:val="center"/>
          </w:tcPr>
          <w:p>
            <w:pPr>
              <w:jc w:val="center"/>
            </w:pPr>
            <w:r>
              <w:t>服务采购</w:t>
            </w:r>
          </w:p>
        </w:tc>
        <w:tc>
          <w:tcPr>
            <w:tcW w:w="1900" w:type="dxa"/>
            <w:vAlign w:val="center"/>
          </w:tcPr>
          <w:p>
            <w:pPr>
              <w:jc w:val="center"/>
            </w:pPr>
            <w:r>
              <w:t>工程采购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1760" w:type="dxa"/>
          </w:tcPr>
          <w:p>
            <w:r>
              <w:t>100以下</w:t>
            </w:r>
          </w:p>
        </w:tc>
        <w:tc>
          <w:tcPr>
            <w:tcW w:w="1984" w:type="dxa"/>
          </w:tcPr>
          <w:p>
            <w:pPr>
              <w:jc w:val="center"/>
            </w:pPr>
            <w:r>
              <w:t>1.5%</w:t>
            </w:r>
          </w:p>
        </w:tc>
        <w:tc>
          <w:tcPr>
            <w:tcW w:w="1843" w:type="dxa"/>
          </w:tcPr>
          <w:p>
            <w:pPr>
              <w:jc w:val="center"/>
            </w:pPr>
            <w:r>
              <w:t>1.5%</w:t>
            </w:r>
          </w:p>
        </w:tc>
        <w:tc>
          <w:tcPr>
            <w:tcW w:w="1900" w:type="dxa"/>
          </w:tcPr>
          <w:p>
            <w:pPr>
              <w:jc w:val="center"/>
            </w:pPr>
            <w: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1760" w:type="dxa"/>
          </w:tcPr>
          <w:p>
            <w:r>
              <w:t>100-500</w:t>
            </w:r>
          </w:p>
        </w:tc>
        <w:tc>
          <w:tcPr>
            <w:tcW w:w="1984" w:type="dxa"/>
          </w:tcPr>
          <w:p>
            <w:pPr>
              <w:jc w:val="center"/>
            </w:pPr>
            <w:r>
              <w:t>1.1%</w:t>
            </w:r>
          </w:p>
        </w:tc>
        <w:tc>
          <w:tcPr>
            <w:tcW w:w="1843" w:type="dxa"/>
          </w:tcPr>
          <w:p>
            <w:pPr>
              <w:jc w:val="center"/>
            </w:pPr>
            <w:r>
              <w:t>0.8%</w:t>
            </w:r>
          </w:p>
        </w:tc>
        <w:tc>
          <w:tcPr>
            <w:tcW w:w="1900" w:type="dxa"/>
          </w:tcPr>
          <w:p>
            <w:pPr>
              <w:jc w:val="center"/>
            </w:pPr>
            <w:r>
              <w:t>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1760" w:type="dxa"/>
          </w:tcPr>
          <w:p>
            <w:r>
              <w:t>500-1000</w:t>
            </w:r>
          </w:p>
        </w:tc>
        <w:tc>
          <w:tcPr>
            <w:tcW w:w="1984" w:type="dxa"/>
          </w:tcPr>
          <w:p>
            <w:pPr>
              <w:jc w:val="center"/>
            </w:pPr>
            <w:r>
              <w:t>0.8%</w:t>
            </w:r>
          </w:p>
        </w:tc>
        <w:tc>
          <w:tcPr>
            <w:tcW w:w="1843" w:type="dxa"/>
          </w:tcPr>
          <w:p>
            <w:pPr>
              <w:jc w:val="center"/>
            </w:pPr>
            <w:r>
              <w:t>0.45%</w:t>
            </w:r>
          </w:p>
        </w:tc>
        <w:tc>
          <w:tcPr>
            <w:tcW w:w="1900" w:type="dxa"/>
          </w:tcPr>
          <w:p>
            <w:pPr>
              <w:jc w:val="center"/>
            </w:pPr>
            <w:r>
              <w:t>0.55%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1760" w:type="dxa"/>
          </w:tcPr>
          <w:p>
            <w:r>
              <w:t>1000-5000</w:t>
            </w:r>
          </w:p>
        </w:tc>
        <w:tc>
          <w:tcPr>
            <w:tcW w:w="1984" w:type="dxa"/>
          </w:tcPr>
          <w:p>
            <w:pPr>
              <w:jc w:val="center"/>
            </w:pPr>
            <w:r>
              <w:t>0.5%</w:t>
            </w:r>
          </w:p>
        </w:tc>
        <w:tc>
          <w:tcPr>
            <w:tcW w:w="1843" w:type="dxa"/>
          </w:tcPr>
          <w:p>
            <w:pPr>
              <w:jc w:val="center"/>
            </w:pPr>
            <w:r>
              <w:t>0.25%</w:t>
            </w:r>
          </w:p>
        </w:tc>
        <w:tc>
          <w:tcPr>
            <w:tcW w:w="1900" w:type="dxa"/>
          </w:tcPr>
          <w:p>
            <w:pPr>
              <w:jc w:val="center"/>
            </w:pPr>
            <w:r>
              <w:t>0.35%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1760" w:type="dxa"/>
          </w:tcPr>
          <w:p>
            <w:r>
              <w:t>5000-10000</w:t>
            </w:r>
          </w:p>
        </w:tc>
        <w:tc>
          <w:tcPr>
            <w:tcW w:w="1984" w:type="dxa"/>
          </w:tcPr>
          <w:p>
            <w:pPr>
              <w:jc w:val="center"/>
            </w:pPr>
            <w:r>
              <w:t>0.25%</w:t>
            </w:r>
          </w:p>
        </w:tc>
        <w:tc>
          <w:tcPr>
            <w:tcW w:w="1843" w:type="dxa"/>
          </w:tcPr>
          <w:p>
            <w:pPr>
              <w:jc w:val="center"/>
            </w:pPr>
            <w:r>
              <w:t>0.1%</w:t>
            </w:r>
          </w:p>
        </w:tc>
        <w:tc>
          <w:tcPr>
            <w:tcW w:w="1900" w:type="dxa"/>
          </w:tcPr>
          <w:p>
            <w:pPr>
              <w:jc w:val="center"/>
            </w:pPr>
            <w:r>
              <w:t>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 w:hRule="atLeast"/>
          <w:jc w:val="right"/>
        </w:trPr>
        <w:tc>
          <w:tcPr>
            <w:tcW w:w="1760" w:type="dxa"/>
          </w:tcPr>
          <w:p>
            <w:r>
              <w:t>10000-50000</w:t>
            </w:r>
          </w:p>
        </w:tc>
        <w:tc>
          <w:tcPr>
            <w:tcW w:w="1984" w:type="dxa"/>
          </w:tcPr>
          <w:p>
            <w:pPr>
              <w:jc w:val="center"/>
            </w:pPr>
            <w:r>
              <w:t>0.05%</w:t>
            </w:r>
          </w:p>
        </w:tc>
        <w:tc>
          <w:tcPr>
            <w:tcW w:w="1843" w:type="dxa"/>
          </w:tcPr>
          <w:p>
            <w:pPr>
              <w:jc w:val="center"/>
            </w:pPr>
            <w:r>
              <w:t>0.05%</w:t>
            </w:r>
          </w:p>
        </w:tc>
        <w:tc>
          <w:tcPr>
            <w:tcW w:w="1900" w:type="dxa"/>
          </w:tcPr>
          <w:p>
            <w:pPr>
              <w:jc w:val="center"/>
            </w:pPr>
            <w:r>
              <w:t>0.05%</w:t>
            </w:r>
          </w:p>
        </w:tc>
      </w:tr>
    </w:tbl>
    <w:p>
      <w:pPr>
        <w:ind w:left="907"/>
        <w:rPr>
          <w:szCs w:val="21"/>
        </w:rPr>
      </w:pPr>
      <w:r>
        <w:rPr>
          <w:szCs w:val="21"/>
        </w:rPr>
        <w:t>注：</w:t>
      </w:r>
    </w:p>
    <w:p>
      <w:pPr>
        <w:ind w:left="907"/>
        <w:rPr>
          <w:szCs w:val="21"/>
        </w:rPr>
      </w:pPr>
      <w:r>
        <w:rPr>
          <w:szCs w:val="21"/>
        </w:rPr>
        <w:t>(1)以中标通知书中确定的中标总金额作为缴费的计算基数。</w:t>
      </w:r>
    </w:p>
    <w:p>
      <w:pPr>
        <w:ind w:left="907"/>
        <w:rPr>
          <w:szCs w:val="21"/>
        </w:rPr>
      </w:pPr>
      <w:r>
        <w:rPr>
          <w:szCs w:val="21"/>
        </w:rPr>
        <w:t>(2)招标代理服务费按差额定率累进法计算。</w:t>
      </w:r>
    </w:p>
    <w:p>
      <w:pPr>
        <w:ind w:left="907"/>
        <w:rPr>
          <w:szCs w:val="21"/>
        </w:rPr>
      </w:pPr>
      <w:r>
        <w:rPr>
          <w:szCs w:val="21"/>
        </w:rPr>
        <w:t>(3)领取中标通知书前向采购代理机构缴纳服务费。</w:t>
      </w:r>
    </w:p>
    <w:p>
      <w:pPr>
        <w:ind w:left="907"/>
        <w:rPr>
          <w:szCs w:val="21"/>
        </w:rPr>
      </w:pPr>
    </w:p>
    <w:p>
      <w:pPr>
        <w:ind w:left="907"/>
        <w:rPr>
          <w:szCs w:val="21"/>
        </w:rPr>
      </w:pPr>
    </w:p>
    <w:p>
      <w:pPr>
        <w:numPr>
          <w:ilvl w:val="0"/>
          <w:numId w:val="12"/>
        </w:numPr>
        <w:rPr>
          <w:sz w:val="24"/>
        </w:rPr>
      </w:pPr>
      <w:r>
        <w:rPr>
          <w:sz w:val="24"/>
        </w:rPr>
        <w:t>合同公示</w:t>
      </w:r>
    </w:p>
    <w:p>
      <w:pPr>
        <w:numPr>
          <w:ilvl w:val="1"/>
          <w:numId w:val="13"/>
        </w:numPr>
        <w:ind w:hangingChars="432"/>
        <w:rPr>
          <w:szCs w:val="21"/>
        </w:rPr>
      </w:pPr>
      <w:r>
        <w:rPr>
          <w:szCs w:val="21"/>
        </w:rPr>
        <w:t>政府采购合同应当自合同签订之日起2个工作日内公告。批量集中采购项目应当公告框架协议。政府采购合同中涉及国家秘密、商业秘密的部分可以不公告，但其他内容应当公告。政府采购合同涉及国家秘密的内容，由采购人依据《保守国家秘密法》等法律制度规定确定。采购合同中涉及商业秘密的内容，由采购人依据《反不正当竞争法》、《最高人民法院关于适用&lt;中华人民共和国民事诉讼法&gt;若干问题的意见》(法发(1992) 22号）等法律制度的规定，与供应商在合同中约定。其中，合同标的名称、规格型号、单价及合同金额等内容不得作为商业秘密。合同中涉及个人隐私的姓名、联系方式等内容，除征得权利人同意外，不得对外公告。</w:t>
      </w:r>
    </w:p>
    <w:p>
      <w:pPr>
        <w:ind w:left="907"/>
        <w:rPr>
          <w:szCs w:val="21"/>
        </w:rPr>
      </w:pPr>
    </w:p>
    <w:p>
      <w:pPr>
        <w:numPr>
          <w:ilvl w:val="0"/>
          <w:numId w:val="12"/>
        </w:numPr>
        <w:rPr>
          <w:sz w:val="24"/>
        </w:rPr>
      </w:pPr>
      <w:r>
        <w:rPr>
          <w:sz w:val="24"/>
        </w:rPr>
        <w:t>履约情况的反馈</w:t>
      </w:r>
    </w:p>
    <w:p>
      <w:pPr>
        <w:numPr>
          <w:ilvl w:val="1"/>
          <w:numId w:val="13"/>
        </w:numPr>
        <w:ind w:hangingChars="432"/>
        <w:rPr>
          <w:szCs w:val="21"/>
        </w:rPr>
      </w:pPr>
      <w:r>
        <w:rPr>
          <w:szCs w:val="21"/>
        </w:rPr>
        <w:t>采购人应及时向政府采购代理机构反馈中标人的履约情况（填写《政府采购履约情况反馈表》），中标人的履约情况将作为供应商考核的重要依据，并将成为日后政府采购活动中的项目评标依据。</w:t>
      </w:r>
    </w:p>
    <w:p>
      <w:pPr>
        <w:ind w:left="907"/>
        <w:rPr>
          <w:szCs w:val="21"/>
        </w:rPr>
      </w:pPr>
    </w:p>
    <w:p>
      <w:pPr>
        <w:numPr>
          <w:ilvl w:val="0"/>
          <w:numId w:val="12"/>
        </w:numPr>
        <w:rPr>
          <w:sz w:val="24"/>
        </w:rPr>
      </w:pPr>
      <w:r>
        <w:rPr>
          <w:sz w:val="24"/>
        </w:rPr>
        <w:t>宣传</w:t>
      </w:r>
    </w:p>
    <w:p>
      <w:pPr>
        <w:numPr>
          <w:ilvl w:val="1"/>
          <w:numId w:val="13"/>
        </w:numPr>
        <w:ind w:hangingChars="432"/>
        <w:rPr>
          <w:szCs w:val="21"/>
        </w:rPr>
      </w:pPr>
      <w:r>
        <w:rPr>
          <w:szCs w:val="21"/>
        </w:rPr>
        <w:t>凡与政府采购活动有关的宣传或广告，若当中提及政府采购，必须事先将具体对外宣传方案报采购代理机构，并征得其同意。对外市场宣传包括但不限于以下形式：</w:t>
      </w:r>
    </w:p>
    <w:p>
      <w:pPr>
        <w:numPr>
          <w:ilvl w:val="2"/>
          <w:numId w:val="14"/>
        </w:numPr>
        <w:rPr>
          <w:szCs w:val="21"/>
        </w:rPr>
      </w:pPr>
      <w:r>
        <w:rPr>
          <w:szCs w:val="21"/>
        </w:rPr>
        <w:t>名片、宣传册、广告标语等；</w:t>
      </w:r>
    </w:p>
    <w:p>
      <w:pPr>
        <w:numPr>
          <w:ilvl w:val="2"/>
          <w:numId w:val="14"/>
        </w:numPr>
        <w:rPr>
          <w:szCs w:val="21"/>
        </w:rPr>
      </w:pPr>
      <w:r>
        <w:rPr>
          <w:szCs w:val="21"/>
        </w:rPr>
        <w:t>案例介绍、推广等；</w:t>
      </w:r>
    </w:p>
    <w:p>
      <w:pPr>
        <w:numPr>
          <w:ilvl w:val="2"/>
          <w:numId w:val="14"/>
        </w:numPr>
        <w:rPr>
          <w:szCs w:val="21"/>
        </w:rPr>
      </w:pPr>
      <w:r>
        <w:rPr>
          <w:szCs w:val="21"/>
        </w:rPr>
        <w:t>工作人员向其他消费群体宣传。</w:t>
      </w:r>
    </w:p>
    <w:p>
      <w:pPr>
        <w:ind w:left="907"/>
        <w:rPr>
          <w:szCs w:val="21"/>
        </w:rPr>
      </w:pPr>
    </w:p>
    <w:p>
      <w:pPr>
        <w:numPr>
          <w:ilvl w:val="0"/>
          <w:numId w:val="12"/>
        </w:numPr>
        <w:rPr>
          <w:sz w:val="24"/>
        </w:rPr>
      </w:pPr>
      <w:r>
        <w:rPr>
          <w:sz w:val="24"/>
        </w:rPr>
        <w:t>腐败和欺诈行为</w:t>
      </w:r>
    </w:p>
    <w:p>
      <w:pPr>
        <w:numPr>
          <w:ilvl w:val="1"/>
          <w:numId w:val="13"/>
        </w:numPr>
        <w:ind w:hangingChars="432"/>
        <w:rPr>
          <w:szCs w:val="21"/>
        </w:rPr>
      </w:pPr>
      <w:r>
        <w:rPr>
          <w:szCs w:val="21"/>
        </w:rPr>
        <w:t>政府采购要求合同项下的采购人和中标人在合同采购和实施过程中应遵守最高的道德标准。根据本要求，政府采购代理机构将：</w:t>
      </w:r>
    </w:p>
    <w:p>
      <w:pPr>
        <w:numPr>
          <w:ilvl w:val="2"/>
          <w:numId w:val="14"/>
        </w:numPr>
        <w:rPr>
          <w:szCs w:val="21"/>
        </w:rPr>
      </w:pPr>
      <w:r>
        <w:rPr>
          <w:szCs w:val="21"/>
        </w:rPr>
        <w:t>为此目的，定义下述条件：</w:t>
      </w:r>
    </w:p>
    <w:p>
      <w:pPr>
        <w:ind w:left="907"/>
        <w:rPr>
          <w:szCs w:val="21"/>
        </w:rPr>
      </w:pPr>
      <w:r>
        <w:rPr>
          <w:szCs w:val="21"/>
        </w:rPr>
        <w:t>（a）“腐败行为”是指提供、给予、接受或索取任何有价值的东西来影响招标方或采购人在采购过程或合同实施过程中的行为；</w:t>
      </w:r>
    </w:p>
    <w:p>
      <w:pPr>
        <w:ind w:left="907"/>
        <w:rPr>
          <w:szCs w:val="21"/>
        </w:rPr>
      </w:pPr>
      <w:r>
        <w:rPr>
          <w:szCs w:val="21"/>
        </w:rPr>
        <w:t>（b）“欺诈行为”是指为了影响采购过程或合同实施过程而谎报事实，损害招标方或采购人的利益，包括投标人之间串通投标（递交投标书之前和之后），人为地使投标丧失竞争性，剥夺招标方或采购人从自由公开竞争所能获得的权益。</w:t>
      </w:r>
    </w:p>
    <w:p>
      <w:pPr>
        <w:numPr>
          <w:ilvl w:val="2"/>
          <w:numId w:val="14"/>
        </w:numPr>
        <w:rPr>
          <w:szCs w:val="21"/>
        </w:rPr>
      </w:pPr>
      <w:r>
        <w:rPr>
          <w:szCs w:val="21"/>
        </w:rPr>
        <w:t>如果评审委员会认为投标人在本合同的竞争中有腐败和欺诈行为，则拒绝接受该投标。</w:t>
      </w:r>
    </w:p>
    <w:p>
      <w:pPr>
        <w:numPr>
          <w:ilvl w:val="2"/>
          <w:numId w:val="14"/>
        </w:numPr>
        <w:rPr>
          <w:szCs w:val="21"/>
        </w:rPr>
      </w:pPr>
      <w:r>
        <w:rPr>
          <w:szCs w:val="21"/>
        </w:rPr>
        <w:t>如果投标人或中标人在政府采购合同的竞争和实施过程中有腐败和欺诈行为，将依据</w:t>
      </w:r>
      <w:r>
        <w:rPr>
          <w:rFonts w:hint="eastAsia"/>
          <w:szCs w:val="21"/>
        </w:rPr>
        <w:t>《中华人民共和国民法典》</w:t>
      </w:r>
      <w:r>
        <w:rPr>
          <w:szCs w:val="21"/>
        </w:rPr>
        <w:t>、《深圳经济特区政府采购条例》有关法律法规进行处罚。</w:t>
      </w:r>
    </w:p>
    <w:p/>
    <w:p>
      <w:r>
        <w:br w:type="page"/>
      </w:r>
    </w:p>
    <w:p/>
    <w:p/>
    <w:p/>
    <w:p/>
    <w:p/>
    <w:p/>
    <w:p/>
    <w:p/>
    <w:p/>
    <w:p/>
    <w:p/>
    <w:p/>
    <w:p/>
    <w:p/>
    <w:p/>
    <w:p>
      <w:pPr>
        <w:pStyle w:val="5"/>
      </w:pPr>
      <w:r>
        <w:rPr>
          <w:b w:val="0"/>
          <w:bCs/>
          <w:kern w:val="28"/>
          <w:sz w:val="44"/>
          <w:szCs w:val="44"/>
        </w:rPr>
        <w:t>第十一章  质疑处理</w:t>
      </w:r>
      <w:r>
        <w:rPr>
          <w:b w:val="0"/>
          <w:bCs/>
          <w:kern w:val="28"/>
          <w:sz w:val="44"/>
          <w:szCs w:val="44"/>
        </w:rPr>
        <w:br w:type="page"/>
      </w:r>
    </w:p>
    <w:p>
      <w:pPr>
        <w:numPr>
          <w:ilvl w:val="0"/>
          <w:numId w:val="12"/>
        </w:numPr>
        <w:ind w:left="950" w:hanging="950" w:hangingChars="432"/>
        <w:rPr>
          <w:rFonts w:ascii="宋体" w:hAnsi="宋体" w:cs="宋体"/>
          <w:sz w:val="22"/>
        </w:rPr>
      </w:pPr>
      <w:r>
        <w:rPr>
          <w:rFonts w:hint="eastAsia" w:ascii="宋体" w:hAnsi="宋体" w:cs="宋体"/>
          <w:sz w:val="22"/>
        </w:rPr>
        <w:t>质疑受理机构</w:t>
      </w:r>
    </w:p>
    <w:p>
      <w:pPr>
        <w:numPr>
          <w:ilvl w:val="1"/>
          <w:numId w:val="13"/>
        </w:numPr>
        <w:ind w:left="950" w:hanging="950" w:hangingChars="432"/>
        <w:rPr>
          <w:rFonts w:ascii="宋体" w:hAnsi="宋体" w:cs="宋体"/>
          <w:sz w:val="22"/>
        </w:rPr>
      </w:pPr>
      <w:r>
        <w:rPr>
          <w:rFonts w:hint="eastAsia" w:ascii="宋体" w:hAnsi="宋体" w:cs="宋体"/>
          <w:sz w:val="22"/>
        </w:rPr>
        <w:t>采购代理机构负责受理和答复质疑。</w:t>
      </w:r>
    </w:p>
    <w:p>
      <w:pPr>
        <w:rPr>
          <w:rFonts w:ascii="宋体" w:hAnsi="宋体" w:cs="宋体"/>
          <w:sz w:val="22"/>
        </w:rPr>
      </w:pPr>
    </w:p>
    <w:p>
      <w:pPr>
        <w:numPr>
          <w:ilvl w:val="0"/>
          <w:numId w:val="12"/>
        </w:numPr>
        <w:ind w:left="950" w:hanging="950" w:hangingChars="432"/>
        <w:rPr>
          <w:rFonts w:ascii="宋体" w:hAnsi="宋体" w:cs="宋体"/>
          <w:sz w:val="22"/>
        </w:rPr>
      </w:pPr>
      <w:r>
        <w:rPr>
          <w:rFonts w:hint="eastAsia" w:ascii="宋体" w:hAnsi="宋体" w:cs="宋体"/>
          <w:sz w:val="22"/>
        </w:rPr>
        <w:t>质疑处理原则</w:t>
      </w:r>
    </w:p>
    <w:p>
      <w:pPr>
        <w:numPr>
          <w:ilvl w:val="1"/>
          <w:numId w:val="13"/>
        </w:numPr>
        <w:ind w:left="950" w:hanging="950" w:hangingChars="432"/>
        <w:rPr>
          <w:rFonts w:ascii="宋体" w:hAnsi="宋体" w:cs="宋体"/>
          <w:sz w:val="22"/>
        </w:rPr>
      </w:pPr>
      <w:r>
        <w:rPr>
          <w:rFonts w:hint="eastAsia" w:ascii="宋体" w:hAnsi="宋体" w:cs="宋体"/>
          <w:sz w:val="22"/>
        </w:rPr>
        <w:t>质疑处理遵循公平、公正、规范、高效的原则。</w:t>
      </w:r>
    </w:p>
    <w:p>
      <w:pPr>
        <w:numPr>
          <w:ilvl w:val="1"/>
          <w:numId w:val="13"/>
        </w:numPr>
        <w:ind w:left="950" w:hanging="950" w:hangingChars="432"/>
        <w:rPr>
          <w:rFonts w:ascii="宋体" w:hAnsi="宋体" w:cs="宋体"/>
          <w:sz w:val="22"/>
        </w:rPr>
      </w:pPr>
      <w:r>
        <w:rPr>
          <w:rFonts w:hint="eastAsia" w:ascii="宋体" w:hAnsi="宋体" w:cs="宋体"/>
          <w:sz w:val="22"/>
        </w:rPr>
        <w:t>供应商质疑实行实名制和“谁质疑，谁举证”的原则，质疑应有具体的事项及事实根据。</w:t>
      </w:r>
    </w:p>
    <w:p>
      <w:pPr>
        <w:ind w:left="907"/>
        <w:rPr>
          <w:rFonts w:ascii="宋体" w:hAnsi="宋体" w:cs="宋体"/>
          <w:sz w:val="22"/>
        </w:rPr>
      </w:pPr>
    </w:p>
    <w:p>
      <w:pPr>
        <w:numPr>
          <w:ilvl w:val="0"/>
          <w:numId w:val="12"/>
        </w:numPr>
        <w:ind w:left="950" w:hanging="950" w:hangingChars="432"/>
        <w:rPr>
          <w:rFonts w:ascii="宋体" w:hAnsi="宋体" w:cs="宋体"/>
          <w:sz w:val="22"/>
        </w:rPr>
      </w:pPr>
      <w:r>
        <w:rPr>
          <w:rFonts w:hint="eastAsia" w:ascii="宋体" w:hAnsi="宋体" w:cs="宋体"/>
          <w:sz w:val="22"/>
        </w:rPr>
        <w:t>质疑受理的时效和范围</w:t>
      </w:r>
    </w:p>
    <w:p>
      <w:pPr>
        <w:numPr>
          <w:ilvl w:val="1"/>
          <w:numId w:val="13"/>
        </w:numPr>
        <w:ind w:left="950" w:hanging="950" w:hangingChars="432"/>
        <w:rPr>
          <w:rFonts w:ascii="宋体" w:hAnsi="宋体" w:cs="宋体"/>
          <w:sz w:val="22"/>
        </w:rPr>
      </w:pPr>
      <w:r>
        <w:rPr>
          <w:rFonts w:hint="eastAsia" w:ascii="宋体" w:hAnsi="宋体" w:cs="宋体"/>
          <w:sz w:val="22"/>
        </w:rPr>
        <w:t>供应商认为采购文件、采购过程和中标、成交结果使自己权益受到损害的，可以在知道或者应知其权益受到损害之日起七个工作日内，以书面形式向政府采购代理机构提出质疑。</w:t>
      </w:r>
    </w:p>
    <w:p>
      <w:pPr>
        <w:numPr>
          <w:ilvl w:val="1"/>
          <w:numId w:val="13"/>
        </w:numPr>
        <w:ind w:left="950" w:hanging="950" w:hangingChars="432"/>
        <w:rPr>
          <w:rFonts w:ascii="宋体" w:hAnsi="宋体" w:cs="宋体"/>
          <w:sz w:val="22"/>
        </w:rPr>
      </w:pPr>
      <w:r>
        <w:rPr>
          <w:rFonts w:hint="eastAsia" w:ascii="宋体" w:hAnsi="宋体" w:cs="宋体"/>
          <w:sz w:val="22"/>
        </w:rPr>
        <w:t>供应商对采购文件有疑问的，政府采购代理机构按答疑程序处理；供应商对采购文件有异议的，按质疑程序处理。</w:t>
      </w:r>
    </w:p>
    <w:p>
      <w:pPr>
        <w:numPr>
          <w:ilvl w:val="1"/>
          <w:numId w:val="13"/>
        </w:numPr>
        <w:ind w:left="950" w:hanging="950" w:hangingChars="432"/>
        <w:rPr>
          <w:rFonts w:ascii="宋体" w:hAnsi="宋体" w:cs="宋体"/>
          <w:sz w:val="22"/>
        </w:rPr>
      </w:pPr>
      <w:r>
        <w:rPr>
          <w:rFonts w:hint="eastAsia" w:ascii="宋体" w:hAnsi="宋体" w:cs="宋体"/>
          <w:sz w:val="22"/>
        </w:rPr>
        <w:t>供应商在法定质疑期内一次性提出针对同一采购程序环节的质疑。</w:t>
      </w:r>
    </w:p>
    <w:p>
      <w:pPr>
        <w:ind w:left="907"/>
        <w:rPr>
          <w:rFonts w:ascii="宋体" w:hAnsi="宋体" w:cs="宋体"/>
          <w:sz w:val="22"/>
        </w:rPr>
      </w:pPr>
    </w:p>
    <w:p>
      <w:pPr>
        <w:numPr>
          <w:ilvl w:val="0"/>
          <w:numId w:val="12"/>
        </w:numPr>
        <w:ind w:left="950" w:hanging="950" w:hangingChars="432"/>
        <w:rPr>
          <w:rFonts w:ascii="宋体" w:hAnsi="宋体" w:cs="宋体"/>
          <w:sz w:val="22"/>
        </w:rPr>
      </w:pPr>
      <w:r>
        <w:rPr>
          <w:rFonts w:hint="eastAsia" w:ascii="宋体" w:hAnsi="宋体" w:cs="宋体"/>
          <w:sz w:val="22"/>
        </w:rPr>
        <w:t>质疑条件</w:t>
      </w:r>
    </w:p>
    <w:p>
      <w:pPr>
        <w:numPr>
          <w:ilvl w:val="1"/>
          <w:numId w:val="13"/>
        </w:numPr>
        <w:ind w:left="950" w:hanging="950" w:hangingChars="432"/>
        <w:rPr>
          <w:rFonts w:ascii="宋体" w:hAnsi="宋体" w:cs="宋体"/>
          <w:sz w:val="22"/>
        </w:rPr>
      </w:pPr>
      <w:r>
        <w:rPr>
          <w:rFonts w:hint="eastAsia" w:ascii="宋体" w:hAnsi="宋体" w:cs="宋体"/>
          <w:sz w:val="22"/>
        </w:rPr>
        <w:t>提出质疑的应是直接参与相应采购项目的供应商。以联合体形式参与的，由联合体共同提出；</w:t>
      </w:r>
    </w:p>
    <w:p>
      <w:pPr>
        <w:numPr>
          <w:ilvl w:val="1"/>
          <w:numId w:val="13"/>
        </w:numPr>
        <w:ind w:left="950" w:hanging="950" w:hangingChars="432"/>
        <w:rPr>
          <w:rFonts w:ascii="宋体" w:hAnsi="宋体" w:cs="宋体"/>
          <w:sz w:val="22"/>
        </w:rPr>
      </w:pPr>
      <w:r>
        <w:rPr>
          <w:rFonts w:hint="eastAsia" w:ascii="宋体" w:hAnsi="宋体" w:cs="宋体"/>
          <w:sz w:val="22"/>
        </w:rPr>
        <w:t>提供质疑的项目名称和编号、质疑供应商的单位名称、详细地址、邮政编码、联系人及联系电话等基本情况；</w:t>
      </w:r>
    </w:p>
    <w:p>
      <w:pPr>
        <w:numPr>
          <w:ilvl w:val="1"/>
          <w:numId w:val="13"/>
        </w:numPr>
        <w:ind w:left="950" w:hanging="950" w:hangingChars="432"/>
        <w:rPr>
          <w:rFonts w:ascii="宋体" w:hAnsi="宋体" w:cs="宋体"/>
          <w:sz w:val="22"/>
        </w:rPr>
      </w:pPr>
      <w:r>
        <w:rPr>
          <w:rFonts w:hint="eastAsia" w:ascii="宋体" w:hAnsi="宋体" w:cs="宋体"/>
          <w:sz w:val="22"/>
        </w:rPr>
        <w:t>有质疑的具体事项、请求及理由，并附相关证据材料；</w:t>
      </w:r>
    </w:p>
    <w:p>
      <w:pPr>
        <w:numPr>
          <w:ilvl w:val="1"/>
          <w:numId w:val="13"/>
        </w:numPr>
        <w:ind w:left="950" w:hanging="950" w:hangingChars="432"/>
        <w:rPr>
          <w:rFonts w:ascii="宋体" w:hAnsi="宋体" w:cs="宋体"/>
          <w:sz w:val="22"/>
        </w:rPr>
      </w:pPr>
      <w:r>
        <w:rPr>
          <w:rFonts w:hint="eastAsia" w:ascii="宋体" w:hAnsi="宋体" w:cs="宋体"/>
          <w:sz w:val="22"/>
        </w:rPr>
        <w:t>质疑书加盖公章，被授权人进行质疑的同时提交法人授权委托书；</w:t>
      </w:r>
    </w:p>
    <w:p>
      <w:pPr>
        <w:numPr>
          <w:ilvl w:val="1"/>
          <w:numId w:val="13"/>
        </w:numPr>
        <w:ind w:left="950" w:hanging="950" w:hangingChars="432"/>
        <w:rPr>
          <w:rFonts w:ascii="宋体" w:hAnsi="宋体" w:cs="宋体"/>
          <w:sz w:val="22"/>
        </w:rPr>
      </w:pPr>
      <w:r>
        <w:rPr>
          <w:rFonts w:hint="eastAsia" w:ascii="宋体" w:hAnsi="宋体" w:cs="宋体"/>
          <w:sz w:val="22"/>
        </w:rPr>
        <w:t>质疑材料中有外文资料的，应一并附上中文译本，并以中文译本为准。</w:t>
      </w:r>
    </w:p>
    <w:p>
      <w:pPr>
        <w:ind w:left="907"/>
        <w:rPr>
          <w:rFonts w:ascii="宋体" w:hAnsi="宋体" w:cs="宋体"/>
          <w:sz w:val="22"/>
        </w:rPr>
      </w:pPr>
    </w:p>
    <w:p>
      <w:pPr>
        <w:numPr>
          <w:ilvl w:val="0"/>
          <w:numId w:val="12"/>
        </w:numPr>
        <w:ind w:left="950" w:hanging="950" w:hangingChars="432"/>
        <w:rPr>
          <w:rFonts w:ascii="宋体" w:hAnsi="宋体" w:cs="宋体"/>
          <w:sz w:val="22"/>
        </w:rPr>
      </w:pPr>
      <w:r>
        <w:rPr>
          <w:rFonts w:hint="eastAsia" w:ascii="宋体" w:hAnsi="宋体" w:cs="宋体"/>
          <w:sz w:val="22"/>
        </w:rPr>
        <w:t>受理质疑办理程序</w:t>
      </w:r>
    </w:p>
    <w:p>
      <w:pPr>
        <w:numPr>
          <w:ilvl w:val="1"/>
          <w:numId w:val="13"/>
        </w:numPr>
        <w:ind w:left="950" w:hanging="950" w:hangingChars="432"/>
        <w:rPr>
          <w:rFonts w:ascii="宋体" w:hAnsi="宋体" w:cs="宋体"/>
          <w:sz w:val="22"/>
        </w:rPr>
      </w:pPr>
      <w:r>
        <w:rPr>
          <w:rFonts w:hint="eastAsia" w:ascii="宋体" w:hAnsi="宋体" w:cs="宋体"/>
          <w:sz w:val="22"/>
        </w:rPr>
        <w:t>先与质疑供应商进行沟通，以消除因误解或对采购规则和程序的不了解而引起的质疑。对沟通情况满意的，供应商撤回质疑，质疑处理程序终止。</w:t>
      </w:r>
    </w:p>
    <w:p>
      <w:pPr>
        <w:numPr>
          <w:ilvl w:val="1"/>
          <w:numId w:val="13"/>
        </w:numPr>
        <w:ind w:left="950" w:hanging="950" w:hangingChars="432"/>
        <w:rPr>
          <w:rFonts w:ascii="宋体" w:hAnsi="宋体" w:cs="宋体"/>
          <w:sz w:val="22"/>
        </w:rPr>
      </w:pPr>
      <w:r>
        <w:rPr>
          <w:rFonts w:hint="eastAsia" w:ascii="宋体" w:hAnsi="宋体" w:cs="宋体"/>
          <w:sz w:val="22"/>
        </w:rPr>
        <w:t>处理质疑一般进行书面审查；必要时听取各方当事人的陈述和申辩、进行相关调查；组织原评审委员会或谈判小组进行复议。</w:t>
      </w:r>
    </w:p>
    <w:p>
      <w:pPr>
        <w:numPr>
          <w:ilvl w:val="1"/>
          <w:numId w:val="13"/>
        </w:numPr>
        <w:ind w:left="950" w:hanging="950" w:hangingChars="432"/>
        <w:rPr>
          <w:rFonts w:ascii="宋体" w:hAnsi="宋体" w:cs="宋体"/>
          <w:sz w:val="22"/>
        </w:rPr>
      </w:pPr>
      <w:r>
        <w:rPr>
          <w:rFonts w:hint="eastAsia" w:ascii="宋体" w:hAnsi="宋体" w:cs="宋体"/>
          <w:sz w:val="22"/>
        </w:rPr>
        <w:t>在质疑处理期间，采购代理机构视情形决定暂停采购活动。</w:t>
      </w:r>
    </w:p>
    <w:p>
      <w:pPr>
        <w:numPr>
          <w:ilvl w:val="1"/>
          <w:numId w:val="13"/>
        </w:numPr>
        <w:ind w:left="950" w:hanging="950" w:hangingChars="432"/>
        <w:rPr>
          <w:rFonts w:ascii="宋体" w:hAnsi="宋体" w:cs="宋体"/>
          <w:sz w:val="22"/>
        </w:rPr>
      </w:pPr>
      <w:r>
        <w:rPr>
          <w:rFonts w:hint="eastAsia" w:ascii="宋体" w:hAnsi="宋体" w:cs="宋体"/>
          <w:sz w:val="22"/>
        </w:rPr>
        <w:t>采购代理机构原则上在质疑受理之日起七个工作日内书面答复质疑供应商。答复函以直接领取、传真或邮寄方式送达。</w:t>
      </w:r>
    </w:p>
    <w:p>
      <w:pPr>
        <w:numPr>
          <w:ilvl w:val="1"/>
          <w:numId w:val="13"/>
        </w:numPr>
        <w:ind w:left="950" w:hanging="950" w:hangingChars="432"/>
        <w:rPr>
          <w:rFonts w:ascii="宋体" w:hAnsi="宋体" w:cs="宋体"/>
          <w:sz w:val="22"/>
        </w:rPr>
      </w:pPr>
      <w:r>
        <w:rPr>
          <w:rFonts w:hint="eastAsia" w:ascii="宋体" w:hAnsi="宋体" w:cs="宋体"/>
          <w:sz w:val="22"/>
        </w:rPr>
        <w:t>供应商向采购代理机构提出质疑后，在质疑处理期限内，不得同时向其他方面提起同一质疑。</w:t>
      </w:r>
    </w:p>
    <w:p>
      <w:pPr>
        <w:ind w:left="907"/>
        <w:rPr>
          <w:rFonts w:ascii="宋体" w:hAnsi="宋体" w:cs="宋体"/>
          <w:sz w:val="22"/>
        </w:rPr>
      </w:pPr>
    </w:p>
    <w:p>
      <w:pPr>
        <w:numPr>
          <w:ilvl w:val="0"/>
          <w:numId w:val="12"/>
        </w:numPr>
        <w:ind w:left="950" w:hanging="950" w:hangingChars="432"/>
        <w:rPr>
          <w:rFonts w:ascii="宋体" w:hAnsi="宋体" w:cs="宋体"/>
          <w:sz w:val="22"/>
        </w:rPr>
      </w:pPr>
      <w:r>
        <w:rPr>
          <w:rFonts w:hint="eastAsia" w:ascii="宋体" w:hAnsi="宋体" w:cs="宋体"/>
          <w:sz w:val="22"/>
        </w:rPr>
        <w:t>相关责任与义务</w:t>
      </w:r>
    </w:p>
    <w:p>
      <w:pPr>
        <w:numPr>
          <w:ilvl w:val="1"/>
          <w:numId w:val="13"/>
        </w:numPr>
        <w:ind w:left="950" w:hanging="950" w:hangingChars="432"/>
        <w:rPr>
          <w:rFonts w:ascii="宋体" w:hAnsi="宋体" w:cs="宋体"/>
          <w:sz w:val="22"/>
        </w:rPr>
      </w:pPr>
      <w:r>
        <w:rPr>
          <w:rFonts w:hint="eastAsia" w:ascii="宋体" w:hAnsi="宋体" w:cs="宋体"/>
          <w:sz w:val="22"/>
        </w:rPr>
        <w:t>采购单位、评标专家和相关供应商等当事人应积极配合政府采购代理机构进行质疑调查，如实反映情况，及时提供证明材料。</w:t>
      </w:r>
    </w:p>
    <w:p>
      <w:pPr>
        <w:numPr>
          <w:ilvl w:val="1"/>
          <w:numId w:val="13"/>
        </w:numPr>
        <w:ind w:left="950" w:hanging="950" w:hangingChars="432"/>
        <w:rPr>
          <w:rFonts w:ascii="宋体" w:hAnsi="宋体" w:cs="宋体"/>
          <w:sz w:val="22"/>
        </w:rPr>
      </w:pPr>
      <w:r>
        <w:rPr>
          <w:rFonts w:hint="eastAsia" w:ascii="宋体" w:hAnsi="宋体" w:cs="宋体"/>
          <w:sz w:val="22"/>
        </w:rPr>
        <w:t>质疑供应商有下列情形之一的，属于虚假、恶意质疑，并视情节提请政府采购监督管理部门给予一定年限内禁止参与政府采购活动资格或其他处罚：</w:t>
      </w:r>
    </w:p>
    <w:p>
      <w:pPr>
        <w:numPr>
          <w:ilvl w:val="2"/>
          <w:numId w:val="14"/>
        </w:numPr>
        <w:ind w:left="950" w:hanging="950" w:hangingChars="432"/>
        <w:rPr>
          <w:rFonts w:ascii="宋体" w:hAnsi="宋体" w:cs="宋体"/>
          <w:sz w:val="22"/>
        </w:rPr>
      </w:pPr>
      <w:r>
        <w:rPr>
          <w:rFonts w:hint="eastAsia" w:ascii="宋体" w:hAnsi="宋体" w:cs="宋体"/>
          <w:sz w:val="22"/>
        </w:rPr>
        <w:t>捏造事实或提供虚假证明材料的；</w:t>
      </w:r>
    </w:p>
    <w:p>
      <w:pPr>
        <w:numPr>
          <w:ilvl w:val="2"/>
          <w:numId w:val="14"/>
        </w:numPr>
        <w:ind w:left="950" w:hanging="950" w:hangingChars="432"/>
        <w:rPr>
          <w:rFonts w:ascii="宋体" w:hAnsi="宋体" w:cs="宋体"/>
          <w:sz w:val="22"/>
        </w:rPr>
      </w:pPr>
      <w:r>
        <w:rPr>
          <w:rFonts w:hint="eastAsia" w:ascii="宋体" w:hAnsi="宋体" w:cs="宋体"/>
          <w:sz w:val="22"/>
        </w:rPr>
        <w:t>假冒他人名义进行质疑的；</w:t>
      </w:r>
    </w:p>
    <w:p>
      <w:pPr>
        <w:numPr>
          <w:ilvl w:val="2"/>
          <w:numId w:val="14"/>
        </w:numPr>
        <w:ind w:left="950" w:hanging="950" w:hangingChars="432"/>
        <w:rPr>
          <w:rFonts w:ascii="宋体" w:hAnsi="宋体" w:cs="宋体"/>
          <w:sz w:val="22"/>
        </w:rPr>
      </w:pPr>
      <w:r>
        <w:rPr>
          <w:rFonts w:hint="eastAsia" w:ascii="宋体" w:hAnsi="宋体" w:cs="宋体"/>
          <w:sz w:val="22"/>
        </w:rPr>
        <w:t>拒不配合进行有关调查、情节严重的。</w:t>
      </w:r>
    </w:p>
    <w:p>
      <w:pPr>
        <w:pStyle w:val="4"/>
        <w:rPr>
          <w:rFonts w:ascii="宋体" w:hAnsi="宋体" w:cs="宋体"/>
          <w:sz w:val="22"/>
          <w:szCs w:val="22"/>
        </w:rPr>
      </w:pPr>
      <w:r>
        <w:rPr>
          <w:rFonts w:hint="eastAsia" w:ascii="宋体" w:hAnsi="宋体" w:cs="宋体"/>
          <w:sz w:val="22"/>
          <w:szCs w:val="22"/>
        </w:rPr>
        <w:br w:type="page"/>
      </w:r>
    </w:p>
    <w:p>
      <w:pPr>
        <w:pStyle w:val="4"/>
        <w:rPr>
          <w:rFonts w:ascii="宋体" w:hAnsi="宋体" w:cs="宋体"/>
          <w:sz w:val="22"/>
          <w:szCs w:val="22"/>
        </w:rPr>
      </w:pPr>
    </w:p>
    <w:p>
      <w:pPr>
        <w:pStyle w:val="4"/>
        <w:rPr>
          <w:rFonts w:ascii="宋体" w:hAnsi="宋体" w:cs="宋体"/>
          <w:sz w:val="22"/>
          <w:szCs w:val="22"/>
        </w:rPr>
      </w:pPr>
    </w:p>
    <w:p>
      <w:pPr>
        <w:pStyle w:val="4"/>
        <w:rPr>
          <w:rFonts w:ascii="宋体" w:hAnsi="宋体" w:cs="宋体"/>
          <w:sz w:val="22"/>
          <w:szCs w:val="22"/>
        </w:rPr>
      </w:pPr>
    </w:p>
    <w:p>
      <w:pPr>
        <w:pStyle w:val="4"/>
        <w:rPr>
          <w:rFonts w:ascii="宋体" w:hAnsi="宋体" w:cs="宋体"/>
          <w:sz w:val="22"/>
          <w:szCs w:val="22"/>
        </w:rPr>
      </w:pPr>
    </w:p>
    <w:p>
      <w:pPr>
        <w:pStyle w:val="4"/>
        <w:rPr>
          <w:rFonts w:ascii="宋体" w:hAnsi="宋体" w:cs="宋体"/>
          <w:sz w:val="22"/>
          <w:szCs w:val="22"/>
        </w:rPr>
      </w:pPr>
    </w:p>
    <w:p>
      <w:pPr>
        <w:pStyle w:val="4"/>
        <w:rPr>
          <w:rFonts w:ascii="宋体" w:hAnsi="宋体" w:cs="宋体"/>
          <w:sz w:val="22"/>
          <w:szCs w:val="22"/>
        </w:rPr>
      </w:pPr>
    </w:p>
    <w:p>
      <w:pPr>
        <w:pStyle w:val="4"/>
        <w:rPr>
          <w:rFonts w:ascii="宋体" w:hAnsi="宋体" w:cs="宋体"/>
          <w:b/>
          <w:sz w:val="52"/>
          <w:szCs w:val="52"/>
        </w:rPr>
      </w:pPr>
      <w:r>
        <w:rPr>
          <w:rFonts w:hint="eastAsia" w:ascii="宋体" w:hAnsi="宋体" w:cs="宋体"/>
          <w:b/>
          <w:sz w:val="52"/>
          <w:szCs w:val="52"/>
        </w:rPr>
        <w:t>第三册  附件</w:t>
      </w:r>
    </w:p>
    <w:p>
      <w:pPr>
        <w:rPr>
          <w:rFonts w:ascii="宋体" w:hAnsi="宋体" w:cs="宋体"/>
          <w:sz w:val="22"/>
        </w:rPr>
      </w:pPr>
    </w:p>
    <w:p>
      <w:pPr>
        <w:pStyle w:val="6"/>
        <w:keepNext w:val="0"/>
        <w:keepLines w:val="0"/>
        <w:numPr>
          <w:ilvl w:val="0"/>
          <w:numId w:val="18"/>
        </w:numPr>
        <w:spacing w:before="0" w:after="0" w:line="240" w:lineRule="auto"/>
        <w:jc w:val="center"/>
      </w:pPr>
      <w:r>
        <w:rPr>
          <w:rFonts w:hint="eastAsia" w:ascii="宋体" w:hAnsi="宋体" w:cs="宋体"/>
          <w:szCs w:val="21"/>
        </w:rPr>
        <w:br w:type="page"/>
      </w:r>
      <w:bookmarkStart w:id="246" w:name="_Toc73613644"/>
      <w:bookmarkStart w:id="247" w:name="_Toc73610162"/>
      <w:r>
        <w:rPr>
          <w:rFonts w:hint="eastAsia"/>
        </w:rPr>
        <w:t>财政部 工业和信息化部关于印发《政府采购促进中小企业发展管理办法》的通知</w:t>
      </w:r>
      <w:bookmarkEnd w:id="246"/>
      <w:bookmarkEnd w:id="247"/>
    </w:p>
    <w:p/>
    <w:p/>
    <w:p>
      <w:pPr>
        <w:pStyle w:val="40"/>
        <w:shd w:val="clear" w:color="auto" w:fill="FFFFFF"/>
        <w:spacing w:line="360" w:lineRule="auto"/>
        <w:jc w:val="center"/>
        <w:rPr>
          <w:rFonts w:ascii="宋体" w:hAnsi="宋体"/>
          <w:color w:val="000000"/>
          <w:sz w:val="21"/>
          <w:szCs w:val="21"/>
        </w:rPr>
      </w:pPr>
      <w:r>
        <w:rPr>
          <w:rFonts w:hint="eastAsia" w:ascii="宋体" w:hAnsi="宋体"/>
          <w:color w:val="000000"/>
          <w:sz w:val="21"/>
          <w:szCs w:val="21"/>
        </w:rPr>
        <w:t>财库〔2020〕46号</w:t>
      </w:r>
    </w:p>
    <w:p>
      <w:pPr>
        <w:pStyle w:val="40"/>
        <w:shd w:val="clear" w:color="auto" w:fill="FFFFFF"/>
        <w:spacing w:line="360" w:lineRule="auto"/>
        <w:rPr>
          <w:rFonts w:ascii="宋体" w:hAnsi="宋体"/>
          <w:color w:val="333333"/>
          <w:sz w:val="21"/>
          <w:szCs w:val="21"/>
        </w:rPr>
      </w:pPr>
      <w:r>
        <w:rPr>
          <w:rFonts w:hint="eastAsia" w:ascii="宋体" w:hAnsi="宋体"/>
          <w:color w:val="333333"/>
          <w:sz w:val="21"/>
          <w:szCs w:val="21"/>
        </w:rPr>
        <w:t>各中央预算单位办公厅（室），各省、自治区、直辖市、计划单列市财政厅（局）、工业和信息化主管部门，新疆生产建设兵团财政局、工业和信息化主管部门：</w:t>
      </w:r>
    </w:p>
    <w:p>
      <w:pPr>
        <w:pStyle w:val="40"/>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pStyle w:val="40"/>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附件：政府采购促进中小企业发展管理办法</w:t>
      </w:r>
    </w:p>
    <w:p>
      <w:pPr>
        <w:pStyle w:val="40"/>
        <w:shd w:val="clear" w:color="auto" w:fill="FFFFFF"/>
        <w:spacing w:line="360" w:lineRule="auto"/>
        <w:jc w:val="right"/>
        <w:rPr>
          <w:rFonts w:ascii="宋体" w:hAnsi="宋体"/>
          <w:color w:val="333333"/>
          <w:sz w:val="21"/>
          <w:szCs w:val="21"/>
        </w:rPr>
      </w:pPr>
      <w:r>
        <w:rPr>
          <w:rFonts w:hint="eastAsia" w:ascii="宋体" w:hAnsi="宋体"/>
          <w:color w:val="333333"/>
          <w:sz w:val="21"/>
          <w:szCs w:val="21"/>
        </w:rPr>
        <w:t>财　　政　　部</w:t>
      </w:r>
    </w:p>
    <w:p>
      <w:pPr>
        <w:pStyle w:val="40"/>
        <w:shd w:val="clear" w:color="auto" w:fill="FFFFFF"/>
        <w:spacing w:line="360" w:lineRule="auto"/>
        <w:jc w:val="right"/>
        <w:rPr>
          <w:rFonts w:ascii="宋体" w:hAnsi="宋体"/>
          <w:color w:val="333333"/>
          <w:sz w:val="21"/>
          <w:szCs w:val="21"/>
        </w:rPr>
      </w:pPr>
      <w:r>
        <w:rPr>
          <w:rFonts w:hint="eastAsia" w:ascii="宋体" w:hAnsi="宋体"/>
          <w:color w:val="333333"/>
          <w:sz w:val="21"/>
          <w:szCs w:val="21"/>
        </w:rPr>
        <w:t>工业和信息化部</w:t>
      </w:r>
    </w:p>
    <w:p>
      <w:pPr>
        <w:pStyle w:val="40"/>
        <w:shd w:val="clear" w:color="auto" w:fill="FFFFFF"/>
        <w:spacing w:line="360" w:lineRule="auto"/>
        <w:jc w:val="right"/>
        <w:rPr>
          <w:rFonts w:ascii="宋体" w:hAnsi="宋体"/>
          <w:color w:val="333333"/>
          <w:sz w:val="21"/>
          <w:szCs w:val="21"/>
        </w:rPr>
      </w:pPr>
      <w:r>
        <w:rPr>
          <w:rFonts w:hint="eastAsia" w:ascii="宋体" w:hAnsi="宋体"/>
          <w:color w:val="333333"/>
          <w:sz w:val="21"/>
          <w:szCs w:val="21"/>
        </w:rPr>
        <w:t>2020年12月18日</w:t>
      </w:r>
    </w:p>
    <w:p>
      <w:pPr>
        <w:pStyle w:val="40"/>
        <w:shd w:val="clear" w:color="auto" w:fill="FFFFFF"/>
        <w:spacing w:line="360" w:lineRule="auto"/>
        <w:ind w:firstLine="480"/>
        <w:rPr>
          <w:rFonts w:ascii="宋体" w:hAnsi="宋体"/>
          <w:color w:val="333333"/>
          <w:sz w:val="21"/>
          <w:szCs w:val="21"/>
        </w:rPr>
      </w:pPr>
    </w:p>
    <w:p>
      <w:pPr>
        <w:pStyle w:val="40"/>
        <w:shd w:val="clear" w:color="auto" w:fill="FFFFFF"/>
        <w:spacing w:line="360" w:lineRule="auto"/>
        <w:rPr>
          <w:rFonts w:ascii="宋体" w:hAnsi="宋体"/>
          <w:color w:val="333333"/>
          <w:sz w:val="21"/>
          <w:szCs w:val="21"/>
        </w:rPr>
      </w:pPr>
      <w:r>
        <w:rPr>
          <w:rFonts w:hint="eastAsia" w:ascii="宋体" w:hAnsi="宋体"/>
          <w:b/>
          <w:bCs/>
          <w:color w:val="333333"/>
          <w:sz w:val="21"/>
          <w:szCs w:val="21"/>
        </w:rPr>
        <w:t>附件</w:t>
      </w:r>
    </w:p>
    <w:p>
      <w:pPr>
        <w:pStyle w:val="40"/>
        <w:shd w:val="clear" w:color="auto" w:fill="FFFFFF"/>
        <w:spacing w:line="360" w:lineRule="auto"/>
        <w:ind w:firstLine="480"/>
        <w:rPr>
          <w:rFonts w:ascii="宋体" w:hAnsi="宋体"/>
          <w:color w:val="333333"/>
          <w:sz w:val="21"/>
          <w:szCs w:val="21"/>
        </w:rPr>
      </w:pPr>
    </w:p>
    <w:p>
      <w:pPr>
        <w:pStyle w:val="40"/>
        <w:shd w:val="clear" w:color="auto" w:fill="FFFFFF"/>
        <w:spacing w:line="360" w:lineRule="auto"/>
        <w:jc w:val="center"/>
        <w:rPr>
          <w:rFonts w:ascii="宋体" w:hAnsi="宋体"/>
          <w:color w:val="333333"/>
          <w:sz w:val="21"/>
          <w:szCs w:val="21"/>
        </w:rPr>
      </w:pPr>
      <w:r>
        <w:rPr>
          <w:rFonts w:hint="eastAsia" w:ascii="宋体" w:hAnsi="宋体"/>
          <w:b/>
          <w:bCs/>
          <w:color w:val="333333"/>
          <w:sz w:val="21"/>
          <w:szCs w:val="21"/>
        </w:rPr>
        <w:t>政府采购促进中小企业发展管理办法</w:t>
      </w:r>
    </w:p>
    <w:p>
      <w:pPr>
        <w:pStyle w:val="40"/>
        <w:shd w:val="clear" w:color="auto" w:fill="FFFFFF"/>
        <w:spacing w:line="360" w:lineRule="auto"/>
        <w:ind w:firstLine="480"/>
        <w:rPr>
          <w:rFonts w:ascii="宋体" w:hAnsi="宋体"/>
          <w:color w:val="333333"/>
          <w:sz w:val="21"/>
          <w:szCs w:val="21"/>
        </w:rPr>
      </w:pPr>
    </w:p>
    <w:p>
      <w:pPr>
        <w:pStyle w:val="40"/>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第一条</w:t>
      </w:r>
      <w:r>
        <w:rPr>
          <w:rFonts w:hint="eastAsia" w:ascii="宋体" w:hAnsi="宋体"/>
          <w:color w:val="333333"/>
          <w:sz w:val="21"/>
          <w:szCs w:val="21"/>
        </w:rPr>
        <w:t>　为了发挥政府采购的政策功能，促进中小企业健康发展，根据《中华人民共和国政府采购法》、《中华人民共和国中小企业促进法》等有关法律法规，制定本办法。</w:t>
      </w:r>
    </w:p>
    <w:p>
      <w:pPr>
        <w:pStyle w:val="40"/>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第二条</w:t>
      </w:r>
      <w:r>
        <w:rPr>
          <w:rFonts w:hint="eastAsia" w:ascii="宋体" w:hAnsi="宋体"/>
          <w:color w:val="333333"/>
          <w:sz w:val="21"/>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pPr>
        <w:pStyle w:val="40"/>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符合中小企业划分标准的个体工商户，在政府采购活动中视同中小企业。</w:t>
      </w:r>
    </w:p>
    <w:p>
      <w:pPr>
        <w:pStyle w:val="40"/>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第三条</w:t>
      </w:r>
      <w:r>
        <w:rPr>
          <w:rFonts w:hint="eastAsia" w:ascii="宋体" w:hAnsi="宋体"/>
          <w:color w:val="333333"/>
          <w:sz w:val="21"/>
          <w:szCs w:val="21"/>
        </w:rPr>
        <w:t>　采购人在政府采购活动中应当通过加强采购需求管理，落实预留采购份额、价格评审优惠、优先采购等措施，提高中小企业在政府采购中的份额，支持中小企业发展。</w:t>
      </w:r>
    </w:p>
    <w:p>
      <w:pPr>
        <w:pStyle w:val="40"/>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第四条</w:t>
      </w:r>
      <w:r>
        <w:rPr>
          <w:rFonts w:hint="eastAsia" w:ascii="宋体" w:hAnsi="宋体"/>
          <w:color w:val="333333"/>
          <w:sz w:val="21"/>
          <w:szCs w:val="21"/>
        </w:rPr>
        <w:t>　在政府采购活动中，供应商提供的货物、工程或者服务符合下列情形的，享受本办法规定的中小企业扶持政策：</w:t>
      </w:r>
    </w:p>
    <w:p>
      <w:pPr>
        <w:pStyle w:val="40"/>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（一）在货物采购项目中，货物由中小企业制造，即货物由中小企业生产且使用该中小企业商号或者注册商标；</w:t>
      </w:r>
    </w:p>
    <w:p>
      <w:pPr>
        <w:pStyle w:val="40"/>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（二）在工程采购项目中，工程由中小企业承建，即工程施工单位为中小企业；</w:t>
      </w:r>
    </w:p>
    <w:p>
      <w:pPr>
        <w:pStyle w:val="40"/>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（三）在服务采购项目中，服务由中小企业承接，即提供服务的人员为中小企业依照《中华人民共和国劳动合同法》订立劳动合同的从业人员。</w:t>
      </w:r>
    </w:p>
    <w:p>
      <w:pPr>
        <w:pStyle w:val="40"/>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在货物采购项目中，供应商提供的货物既有中小企业制造货物，也有大型企业制造货物的，不享受本办法规定的中小企业扶持政策。</w:t>
      </w:r>
    </w:p>
    <w:p>
      <w:pPr>
        <w:pStyle w:val="40"/>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以联合体形式参加政府采购活动，联合体各方均为中小企业的，联合体视同中小企业。其中，联合体各方均为小微企业的，联合体视同小微企业。</w:t>
      </w:r>
    </w:p>
    <w:p>
      <w:pPr>
        <w:pStyle w:val="40"/>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第五条</w:t>
      </w:r>
      <w:r>
        <w:rPr>
          <w:rFonts w:hint="eastAsia" w:ascii="宋体" w:hAnsi="宋体"/>
          <w:color w:val="333333"/>
          <w:sz w:val="21"/>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pPr>
        <w:pStyle w:val="40"/>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第六条</w:t>
      </w:r>
      <w:r>
        <w:rPr>
          <w:rFonts w:hint="eastAsia" w:ascii="宋体" w:hAnsi="宋体"/>
          <w:color w:val="333333"/>
          <w:sz w:val="21"/>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40"/>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符合下列情形之一的，可不专门面向中小企业预留采购份额：</w:t>
      </w:r>
    </w:p>
    <w:p>
      <w:pPr>
        <w:pStyle w:val="40"/>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（一）法律法规和国家有关政策明确规定优先或者应当面向事业单位、社会组织等非企业主体采购的；</w:t>
      </w:r>
    </w:p>
    <w:p>
      <w:pPr>
        <w:pStyle w:val="40"/>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（二）因确需使用不可替代的专利、专有技术，基础设施限制，或者提供特定公共服务等原因，只能从中小企业之外的供应商处采购的；</w:t>
      </w:r>
    </w:p>
    <w:p>
      <w:pPr>
        <w:pStyle w:val="40"/>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（三）按照本办法规定预留采购份额无法确保充分供应、充分竞争，或者存在可能影响政府采购目标实现的情形；</w:t>
      </w:r>
    </w:p>
    <w:p>
      <w:pPr>
        <w:pStyle w:val="40"/>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（四）框架协议采购项目；</w:t>
      </w:r>
    </w:p>
    <w:p>
      <w:pPr>
        <w:pStyle w:val="40"/>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（五）省级以上人民政府财政部门规定的其他情形。</w:t>
      </w:r>
    </w:p>
    <w:p>
      <w:pPr>
        <w:pStyle w:val="40"/>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除上述情形外，其他均为适宜由中小企业提供的情形。</w:t>
      </w:r>
    </w:p>
    <w:p>
      <w:pPr>
        <w:pStyle w:val="40"/>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第七条</w:t>
      </w:r>
      <w:r>
        <w:rPr>
          <w:rFonts w:hint="eastAsia" w:ascii="宋体" w:hAnsi="宋体"/>
          <w:color w:val="333333"/>
          <w:sz w:val="21"/>
          <w:szCs w:val="21"/>
        </w:rPr>
        <w:t>　采购限额标准以上，200万元以下的货物和服务采购项目、400万元以下的工程采购项目，适宜由中小企业提供的，采购人应当专门面向中小企业采购。</w:t>
      </w:r>
    </w:p>
    <w:p>
      <w:pPr>
        <w:pStyle w:val="40"/>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第八条</w:t>
      </w:r>
      <w:r>
        <w:rPr>
          <w:rFonts w:hint="eastAsia" w:ascii="宋体" w:hAnsi="宋体"/>
          <w:color w:val="333333"/>
          <w:sz w:val="21"/>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pPr>
        <w:pStyle w:val="40"/>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（一）将采购项目整体或者设置采购包专门面向中小企业采购；</w:t>
      </w:r>
    </w:p>
    <w:p>
      <w:pPr>
        <w:pStyle w:val="40"/>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（二）要求供应商以联合体形式参加采购活动，且联合体中中小企业承担的部分达到一定比例；</w:t>
      </w:r>
    </w:p>
    <w:p>
      <w:pPr>
        <w:pStyle w:val="40"/>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（三）要求获得采购合同的供应商将采购项目中的一定比例分包给一家或者多家中小企业。</w:t>
      </w:r>
    </w:p>
    <w:p>
      <w:pPr>
        <w:pStyle w:val="40"/>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组成联合体或者接受分包合同的中小企业与联合体内其他企业、分包企业之间不得存在直接控股、管理关系。</w:t>
      </w:r>
    </w:p>
    <w:p>
      <w:pPr>
        <w:pStyle w:val="40"/>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第九条</w:t>
      </w:r>
      <w:r>
        <w:rPr>
          <w:rFonts w:hint="eastAsia" w:ascii="宋体" w:hAnsi="宋体"/>
          <w:color w:val="333333"/>
          <w:sz w:val="21"/>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40"/>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pPr>
        <w:pStyle w:val="40"/>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40"/>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第十条</w:t>
      </w:r>
      <w:r>
        <w:rPr>
          <w:rFonts w:hint="eastAsia" w:ascii="宋体" w:hAnsi="宋体"/>
          <w:color w:val="333333"/>
          <w:sz w:val="21"/>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pPr>
        <w:pStyle w:val="40"/>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第十一条</w:t>
      </w:r>
      <w:r>
        <w:rPr>
          <w:rFonts w:hint="eastAsia" w:ascii="宋体" w:hAnsi="宋体"/>
          <w:color w:val="333333"/>
          <w:sz w:val="21"/>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pPr>
        <w:pStyle w:val="40"/>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第十二条</w:t>
      </w:r>
      <w:r>
        <w:rPr>
          <w:rFonts w:hint="eastAsia" w:ascii="宋体" w:hAnsi="宋体"/>
          <w:color w:val="333333"/>
          <w:sz w:val="21"/>
          <w:szCs w:val="21"/>
        </w:rPr>
        <w:t>　采购项目涉及中小企业采购的，采购文件应当明确以下内容：</w:t>
      </w:r>
    </w:p>
    <w:p>
      <w:pPr>
        <w:pStyle w:val="40"/>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（一）预留份额的采购项目或者采购包，明确该项目或相关采购包专门面向中小企业采购，以及相关标的及预算金额；</w:t>
      </w:r>
    </w:p>
    <w:p>
      <w:pPr>
        <w:pStyle w:val="40"/>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（二）要求以联合体形式参加或者合同分包的，明确联合协议或者分包意向协议中中小企业合同金额应当达到的比例，并作为供应商资格条件；</w:t>
      </w:r>
    </w:p>
    <w:p>
      <w:pPr>
        <w:pStyle w:val="40"/>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（三）非预留份额的采购项目或者采购包，明确有关价格扣除比例或者价格分加分比例；</w:t>
      </w:r>
    </w:p>
    <w:p>
      <w:pPr>
        <w:pStyle w:val="40"/>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（四）规定依据本办法规定享受扶持政策获得政府采购合同的，小微企业不得将合同分包给大中型企业，中型企业不得将合同分包给大型企业；</w:t>
      </w:r>
    </w:p>
    <w:p>
      <w:pPr>
        <w:pStyle w:val="40"/>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（五）采购人认为具备相关条件的，明确对中小企业在资金支付期限、预付款比例等方面的优惠措施；</w:t>
      </w:r>
    </w:p>
    <w:p>
      <w:pPr>
        <w:pStyle w:val="40"/>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（六）明确采购标的对应的中小企业划分标准所属行业；</w:t>
      </w:r>
    </w:p>
    <w:p>
      <w:pPr>
        <w:pStyle w:val="40"/>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（七）法律法规和省级以上人民政府财政部门规定的其他事项。</w:t>
      </w:r>
    </w:p>
    <w:p>
      <w:pPr>
        <w:pStyle w:val="40"/>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第十三条</w:t>
      </w:r>
      <w:r>
        <w:rPr>
          <w:rFonts w:hint="eastAsia" w:ascii="宋体" w:hAnsi="宋体"/>
          <w:color w:val="333333"/>
          <w:sz w:val="21"/>
          <w:szCs w:val="21"/>
        </w:rPr>
        <w:t>　中标、成交供应商享受本办法规定的中小企业扶持政策的，采购人、采购代理机构应当随中标、成交结果公开中标、成交供应商的《中小企业声明函》。</w:t>
      </w:r>
    </w:p>
    <w:p>
      <w:pPr>
        <w:pStyle w:val="40"/>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适用招标投标法的政府采购工程建设项目，应当在公示中标候选人时公开中标候选人的《中小企业声明函》。</w:t>
      </w:r>
    </w:p>
    <w:p>
      <w:pPr>
        <w:pStyle w:val="40"/>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第十四条</w:t>
      </w:r>
      <w:r>
        <w:rPr>
          <w:rFonts w:hint="eastAsia" w:ascii="宋体" w:hAnsi="宋体"/>
          <w:color w:val="333333"/>
          <w:sz w:val="21"/>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40"/>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第十五条</w:t>
      </w:r>
      <w:r>
        <w:rPr>
          <w:rFonts w:hint="eastAsia" w:ascii="宋体" w:hAnsi="宋体"/>
          <w:color w:val="333333"/>
          <w:sz w:val="21"/>
          <w:szCs w:val="21"/>
        </w:rPr>
        <w:t>　鼓励各地区、各部门在采购活动中允许中小企业引入信用担保手段，为中小企业在投标（响应）保证、履约保证等方面提供专业化服务。鼓励中小企业依法合规通过政府采购合同融资。</w:t>
      </w:r>
    </w:p>
    <w:p>
      <w:pPr>
        <w:pStyle w:val="40"/>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第十六条</w:t>
      </w:r>
      <w:r>
        <w:rPr>
          <w:rFonts w:hint="eastAsia" w:ascii="宋体" w:hAnsi="宋体"/>
          <w:color w:val="333333"/>
          <w:sz w:val="21"/>
          <w:szCs w:val="21"/>
        </w:rPr>
        <w:t>　政府采购监督检查、投诉处理及政府采购行政处罚中对中小企业的认定，由货物制造商或者工程、服务供应商注册登记所在地的县级以上人民政府中小企业主管部门负责。</w:t>
      </w:r>
    </w:p>
    <w:p>
      <w:pPr>
        <w:pStyle w:val="40"/>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中小企业主管部门应当在收到财政部门或者有关招标投标行政监督部门关于协助开展中小企业认定函后10个工作日内做出书面答复。</w:t>
      </w:r>
    </w:p>
    <w:p>
      <w:pPr>
        <w:pStyle w:val="40"/>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第十七条</w:t>
      </w:r>
      <w:r>
        <w:rPr>
          <w:rFonts w:hint="eastAsia" w:ascii="宋体" w:hAnsi="宋体"/>
          <w:color w:val="333333"/>
          <w:sz w:val="21"/>
          <w:szCs w:val="21"/>
        </w:rPr>
        <w:t>　各地区、各部门应当对涉及中小企业采购的预算项目实施全过程绩效管理，合理设置绩效目标和指标，落实扶持中小企业有关政策要求，定期开展绩效监控和评价，强化绩效评价结果应用。</w:t>
      </w:r>
    </w:p>
    <w:p>
      <w:pPr>
        <w:pStyle w:val="40"/>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第十八条</w:t>
      </w:r>
      <w:r>
        <w:rPr>
          <w:rFonts w:hint="eastAsia" w:ascii="宋体" w:hAnsi="宋体"/>
          <w:color w:val="333333"/>
          <w:sz w:val="21"/>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pPr>
        <w:pStyle w:val="40"/>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第十九条</w:t>
      </w:r>
      <w:r>
        <w:rPr>
          <w:rFonts w:hint="eastAsia" w:ascii="宋体" w:hAnsi="宋体"/>
          <w:color w:val="333333"/>
          <w:sz w:val="21"/>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40"/>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第二十条</w:t>
      </w:r>
      <w:r>
        <w:rPr>
          <w:rFonts w:hint="eastAsia" w:ascii="宋体" w:hAnsi="宋体"/>
          <w:color w:val="333333"/>
          <w:sz w:val="21"/>
          <w:szCs w:val="21"/>
        </w:rPr>
        <w:t>　供应商按照本办法规定提供声明函内容不实的，属于提供虚假材料谋取中标、成交，依照《中华人民共和国政府采购法》等国家有关规定追究相应责任。</w:t>
      </w:r>
    </w:p>
    <w:p>
      <w:pPr>
        <w:pStyle w:val="40"/>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适用招标投标法的政府采购工程建设项目，投标人按照本办法规定提供声明函内容不实的，属于弄虚作假骗取中标，依照《中华人民共和国招标投标法》等国家有关规定追究相应责任。</w:t>
      </w:r>
    </w:p>
    <w:p>
      <w:pPr>
        <w:pStyle w:val="40"/>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第二十一条</w:t>
      </w:r>
      <w:r>
        <w:rPr>
          <w:rFonts w:hint="eastAsia" w:ascii="宋体" w:hAnsi="宋体"/>
          <w:color w:val="333333"/>
          <w:sz w:val="21"/>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pPr>
        <w:pStyle w:val="40"/>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第二十二条</w:t>
      </w:r>
      <w:r>
        <w:rPr>
          <w:rFonts w:hint="eastAsia" w:ascii="宋体" w:hAnsi="宋体"/>
          <w:color w:val="333333"/>
          <w:sz w:val="21"/>
          <w:szCs w:val="21"/>
        </w:rPr>
        <w:t>　对外援助项目、国家相关资格或者资质管理制度另有规定的项目，不适用本办法。</w:t>
      </w:r>
    </w:p>
    <w:p>
      <w:pPr>
        <w:pStyle w:val="40"/>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第二十三条</w:t>
      </w:r>
      <w:r>
        <w:rPr>
          <w:rFonts w:hint="eastAsia" w:ascii="宋体" w:hAnsi="宋体"/>
          <w:color w:val="333333"/>
          <w:sz w:val="21"/>
          <w:szCs w:val="21"/>
        </w:rPr>
        <w:t>　关于视同中小企业的其他主体的政府采购扶持政策，由财政部会同有关部门另行规定。</w:t>
      </w:r>
    </w:p>
    <w:p>
      <w:pPr>
        <w:pStyle w:val="40"/>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第二十四条</w:t>
      </w:r>
      <w:r>
        <w:rPr>
          <w:rFonts w:hint="eastAsia" w:ascii="宋体" w:hAnsi="宋体"/>
          <w:color w:val="333333"/>
          <w:sz w:val="21"/>
          <w:szCs w:val="21"/>
        </w:rPr>
        <w:t>　省级财政部门可以会同中小企业主管部门根据本办法的规定制定具体实施办法。</w:t>
      </w:r>
    </w:p>
    <w:p>
      <w:pPr>
        <w:pStyle w:val="40"/>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第二十五条</w:t>
      </w:r>
      <w:r>
        <w:rPr>
          <w:rFonts w:hint="eastAsia" w:ascii="宋体" w:hAnsi="宋体"/>
          <w:color w:val="333333"/>
          <w:sz w:val="21"/>
          <w:szCs w:val="21"/>
        </w:rPr>
        <w:t>　本办法自2021年1月1日起施行。《财政部 工业和信息化部关于印发〈政府采购促进中小企业发展暂行办法〉的通知》（财库〔2011〕181号）同时废止。</w:t>
      </w:r>
    </w:p>
    <w:p>
      <w:pPr>
        <w:pStyle w:val="40"/>
        <w:shd w:val="clear" w:color="auto" w:fill="FFFFFF"/>
        <w:spacing w:line="360" w:lineRule="auto"/>
        <w:ind w:firstLine="480"/>
        <w:rPr>
          <w:rFonts w:ascii="宋体" w:hAnsi="宋体"/>
          <w:color w:val="333333"/>
          <w:sz w:val="21"/>
          <w:szCs w:val="21"/>
        </w:rPr>
      </w:pPr>
    </w:p>
    <w:p>
      <w:pPr>
        <w:spacing w:line="360" w:lineRule="auto"/>
        <w:rPr>
          <w:rFonts w:ascii="宋体" w:hAnsi="宋体"/>
          <w:szCs w:val="21"/>
        </w:rPr>
      </w:pPr>
      <w:r>
        <w:rPr>
          <w:rFonts w:ascii="宋体" w:hAnsi="宋体"/>
          <w:szCs w:val="21"/>
        </w:rPr>
        <w:br w:type="page"/>
      </w:r>
    </w:p>
    <w:p>
      <w:pPr>
        <w:pStyle w:val="6"/>
        <w:spacing w:before="0" w:after="0"/>
        <w:jc w:val="center"/>
      </w:pPr>
      <w:bookmarkStart w:id="248" w:name="_Toc73610163"/>
      <w:bookmarkStart w:id="249" w:name="_Toc73613645"/>
      <w:r>
        <w:rPr>
          <w:rFonts w:hint="eastAsia"/>
        </w:rPr>
        <w:t>二、关于印发中小企业划型标准规定的通知</w:t>
      </w:r>
      <w:bookmarkEnd w:id="248"/>
      <w:bookmarkEnd w:id="249"/>
    </w:p>
    <w:p>
      <w:pPr>
        <w:jc w:val="center"/>
        <w:rPr>
          <w:rFonts w:ascii="宋体" w:hAnsi="宋体"/>
          <w:color w:val="000000"/>
          <w:szCs w:val="21"/>
        </w:rPr>
      </w:pPr>
      <w:r>
        <w:rPr>
          <w:rFonts w:hint="eastAsia" w:ascii="宋体" w:hAnsi="宋体"/>
          <w:color w:val="000000"/>
          <w:szCs w:val="21"/>
        </w:rPr>
        <w:t>工信部联企业〔2011〕300号</w:t>
      </w:r>
    </w:p>
    <w:p>
      <w:pPr>
        <w:rPr>
          <w:rFonts w:ascii="宋体" w:hAnsi="宋体"/>
          <w:color w:val="000000"/>
          <w:szCs w:val="21"/>
        </w:rPr>
      </w:pPr>
      <w:r>
        <w:rPr>
          <w:rFonts w:hint="eastAsia" w:ascii="宋体" w:hAnsi="宋体"/>
          <w:color w:val="000000"/>
          <w:szCs w:val="21"/>
        </w:rPr>
        <w:t>各省、自治区、直辖市人民政府，国务院各部委、各直属机构及有关单位：</w:t>
      </w:r>
    </w:p>
    <w:p>
      <w:pPr>
        <w:rPr>
          <w:rFonts w:ascii="宋体" w:hAnsi="宋体"/>
          <w:color w:val="000000"/>
          <w:szCs w:val="21"/>
        </w:rPr>
      </w:pPr>
      <w:r>
        <w:rPr>
          <w:rFonts w:hint="eastAsia" w:ascii="宋体" w:hAnsi="宋体"/>
          <w:color w:val="00000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rPr>
          <w:rFonts w:ascii="宋体" w:hAnsi="宋体"/>
          <w:color w:val="000000"/>
          <w:szCs w:val="21"/>
        </w:rPr>
      </w:pPr>
    </w:p>
    <w:p>
      <w:pPr>
        <w:jc w:val="right"/>
        <w:rPr>
          <w:rFonts w:ascii="宋体" w:hAnsi="宋体"/>
          <w:color w:val="000000"/>
          <w:szCs w:val="21"/>
        </w:rPr>
      </w:pPr>
      <w:r>
        <w:rPr>
          <w:rFonts w:hint="eastAsia" w:ascii="宋体" w:hAnsi="宋体"/>
          <w:color w:val="000000"/>
          <w:szCs w:val="21"/>
        </w:rPr>
        <w:t>工业和信息化部　国家统计局   国家发展和改革委员会　财政部</w:t>
      </w:r>
    </w:p>
    <w:p>
      <w:pPr>
        <w:jc w:val="right"/>
        <w:rPr>
          <w:rFonts w:ascii="宋体" w:hAnsi="宋体"/>
          <w:color w:val="000000"/>
          <w:szCs w:val="21"/>
        </w:rPr>
      </w:pPr>
      <w:r>
        <w:rPr>
          <w:rFonts w:hint="eastAsia" w:ascii="宋体" w:hAnsi="宋体"/>
          <w:color w:val="000000"/>
          <w:szCs w:val="21"/>
        </w:rPr>
        <w:t>二○一一年六月十八日</w:t>
      </w:r>
    </w:p>
    <w:p/>
    <w:p>
      <w:pPr>
        <w:jc w:val="center"/>
      </w:pPr>
      <w:r>
        <w:rPr>
          <w:rStyle w:val="47"/>
          <w:rFonts w:hint="eastAsia" w:ascii="宋体" w:hAnsi="宋体"/>
          <w:color w:val="000000"/>
          <w:szCs w:val="21"/>
        </w:rPr>
        <w:t>中小企业划型标准规定</w:t>
      </w:r>
    </w:p>
    <w:p>
      <w:pPr>
        <w:rPr>
          <w:rFonts w:ascii="宋体" w:hAnsi="宋体"/>
          <w:color w:val="000000"/>
          <w:szCs w:val="21"/>
        </w:rPr>
      </w:pPr>
      <w:r>
        <w:rPr>
          <w:rFonts w:hint="eastAsia" w:ascii="宋体" w:hAnsi="宋体"/>
          <w:color w:val="000000"/>
          <w:szCs w:val="21"/>
        </w:rPr>
        <w:t>　　</w:t>
      </w:r>
    </w:p>
    <w:p>
      <w:pPr>
        <w:rPr>
          <w:rFonts w:ascii="宋体" w:hAnsi="宋体"/>
          <w:color w:val="000000"/>
          <w:szCs w:val="21"/>
        </w:rPr>
      </w:pPr>
      <w:r>
        <w:rPr>
          <w:rFonts w:hint="eastAsia" w:ascii="宋体" w:hAnsi="宋体"/>
          <w:color w:val="000000"/>
          <w:szCs w:val="21"/>
        </w:rPr>
        <w:t>一、根据《中华人民共和国中小企业促进法》和《国务院关于进一步促进中小企业发展的若干意见》(国发〔2009〕36号)，制定本规定。</w:t>
      </w:r>
    </w:p>
    <w:p>
      <w:pPr>
        <w:rPr>
          <w:rFonts w:ascii="宋体" w:hAnsi="宋体"/>
          <w:color w:val="000000"/>
          <w:szCs w:val="21"/>
        </w:rPr>
      </w:pPr>
      <w:r>
        <w:rPr>
          <w:rFonts w:hint="eastAsia" w:ascii="宋体" w:hAnsi="宋体"/>
          <w:color w:val="000000"/>
          <w:szCs w:val="21"/>
        </w:rPr>
        <w:t>　　二、中小企业划分为中型、小型、微型三种类型，具体标准根据企业从业人员、营业收入、资产总额等指标，结合行业特点制定。</w:t>
      </w:r>
    </w:p>
    <w:p>
      <w:pPr>
        <w:rPr>
          <w:rFonts w:ascii="宋体" w:hAnsi="宋体"/>
          <w:color w:val="000000"/>
          <w:szCs w:val="21"/>
        </w:rPr>
      </w:pPr>
      <w:r>
        <w:rPr>
          <w:rFonts w:hint="eastAsia" w:ascii="宋体" w:hAnsi="宋体"/>
          <w:color w:val="00000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rPr>
          <w:rFonts w:ascii="宋体" w:hAnsi="宋体"/>
          <w:color w:val="000000"/>
          <w:szCs w:val="21"/>
        </w:rPr>
      </w:pPr>
      <w:r>
        <w:rPr>
          <w:rFonts w:hint="eastAsia" w:ascii="宋体" w:hAnsi="宋体"/>
          <w:color w:val="000000"/>
          <w:szCs w:val="21"/>
        </w:rPr>
        <w:t>　　四、各行业划型标准为：</w:t>
      </w:r>
    </w:p>
    <w:p>
      <w:pPr>
        <w:rPr>
          <w:rFonts w:ascii="宋体" w:hAnsi="宋体"/>
          <w:color w:val="000000"/>
          <w:szCs w:val="21"/>
        </w:rPr>
      </w:pPr>
      <w:r>
        <w:rPr>
          <w:rFonts w:hint="eastAsia" w:ascii="宋体" w:hAnsi="宋体"/>
          <w:color w:val="000000"/>
          <w:szCs w:val="21"/>
        </w:rPr>
        <w:t>　　（一）农、林、牧、渔业。营业收入20000万元以下的为中小微型企业。其中，营业收入500万元及以上的为中型企业，营业收入50万元及以上的为小型企业，营业收入50万元以下的为微型企业。</w:t>
      </w:r>
    </w:p>
    <w:p>
      <w:pPr>
        <w:rPr>
          <w:rFonts w:ascii="宋体" w:hAnsi="宋体"/>
          <w:color w:val="000000"/>
          <w:szCs w:val="21"/>
        </w:rPr>
      </w:pPr>
      <w:r>
        <w:rPr>
          <w:rFonts w:hint="eastAsia" w:ascii="宋体" w:hAnsi="宋体"/>
          <w:color w:val="00000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rPr>
          <w:rFonts w:ascii="宋体" w:hAnsi="宋体"/>
          <w:color w:val="000000"/>
          <w:szCs w:val="21"/>
        </w:rPr>
      </w:pPr>
      <w:r>
        <w:rPr>
          <w:rFonts w:hint="eastAsia" w:ascii="宋体" w:hAnsi="宋体"/>
          <w:color w:val="00000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rPr>
          <w:rFonts w:ascii="宋体" w:hAnsi="宋体"/>
          <w:color w:val="000000"/>
          <w:szCs w:val="21"/>
        </w:rPr>
      </w:pPr>
      <w:r>
        <w:rPr>
          <w:rFonts w:hint="eastAsia" w:ascii="宋体" w:hAnsi="宋体"/>
          <w:color w:val="00000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rPr>
          <w:rFonts w:ascii="宋体" w:hAnsi="宋体"/>
          <w:color w:val="000000"/>
          <w:szCs w:val="21"/>
        </w:rPr>
      </w:pPr>
      <w:r>
        <w:rPr>
          <w:rFonts w:hint="eastAsia" w:ascii="宋体" w:hAnsi="宋体"/>
          <w:color w:val="00000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rPr>
          <w:rFonts w:ascii="宋体" w:hAnsi="宋体"/>
          <w:color w:val="000000"/>
          <w:szCs w:val="21"/>
        </w:rPr>
      </w:pPr>
      <w:r>
        <w:rPr>
          <w:rFonts w:hint="eastAsia" w:ascii="宋体" w:hAnsi="宋体"/>
          <w:color w:val="00000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rPr>
          <w:rFonts w:ascii="宋体" w:hAnsi="宋体"/>
          <w:color w:val="000000"/>
          <w:szCs w:val="21"/>
        </w:rPr>
      </w:pPr>
      <w:r>
        <w:rPr>
          <w:rFonts w:hint="eastAsia" w:ascii="宋体" w:hAnsi="宋体"/>
          <w:color w:val="00000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rPr>
          <w:rFonts w:ascii="宋体" w:hAnsi="宋体"/>
          <w:color w:val="000000"/>
          <w:szCs w:val="21"/>
        </w:rPr>
      </w:pPr>
      <w:r>
        <w:rPr>
          <w:rFonts w:hint="eastAsia" w:ascii="宋体" w:hAnsi="宋体"/>
          <w:color w:val="00000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rPr>
          <w:rFonts w:ascii="宋体" w:hAnsi="宋体"/>
          <w:color w:val="000000"/>
          <w:szCs w:val="21"/>
        </w:rPr>
      </w:pPr>
      <w:r>
        <w:rPr>
          <w:rFonts w:hint="eastAsia" w:ascii="宋体" w:hAnsi="宋体"/>
          <w:color w:val="00000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rPr>
          <w:rFonts w:ascii="宋体" w:hAnsi="宋体"/>
          <w:color w:val="000000"/>
          <w:szCs w:val="21"/>
        </w:rPr>
      </w:pPr>
      <w:r>
        <w:rPr>
          <w:rFonts w:hint="eastAsia" w:ascii="宋体" w:hAnsi="宋体"/>
          <w:color w:val="00000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rPr>
          <w:rFonts w:ascii="宋体" w:hAnsi="宋体"/>
          <w:color w:val="000000"/>
          <w:szCs w:val="21"/>
        </w:rPr>
      </w:pPr>
      <w:r>
        <w:rPr>
          <w:rFonts w:hint="eastAsia" w:ascii="宋体" w:hAnsi="宋体"/>
          <w:color w:val="00000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rPr>
          <w:rFonts w:ascii="宋体" w:hAnsi="宋体"/>
          <w:color w:val="000000"/>
          <w:szCs w:val="21"/>
        </w:rPr>
      </w:pPr>
      <w:r>
        <w:rPr>
          <w:rFonts w:hint="eastAsia" w:ascii="宋体" w:hAnsi="宋体"/>
          <w:color w:val="00000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rPr>
          <w:rFonts w:ascii="宋体" w:hAnsi="宋体"/>
          <w:color w:val="000000"/>
          <w:szCs w:val="21"/>
        </w:rPr>
      </w:pPr>
      <w:r>
        <w:rPr>
          <w:rFonts w:hint="eastAsia" w:ascii="宋体" w:hAnsi="宋体"/>
          <w:color w:val="00000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rPr>
          <w:rFonts w:ascii="宋体" w:hAnsi="宋体"/>
          <w:color w:val="000000"/>
          <w:szCs w:val="21"/>
        </w:rPr>
      </w:pPr>
      <w:r>
        <w:rPr>
          <w:rFonts w:hint="eastAsia" w:ascii="宋体" w:hAnsi="宋体"/>
          <w:color w:val="00000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rPr>
          <w:rFonts w:ascii="宋体" w:hAnsi="宋体"/>
          <w:color w:val="000000"/>
          <w:szCs w:val="21"/>
        </w:rPr>
      </w:pPr>
      <w:r>
        <w:rPr>
          <w:rFonts w:hint="eastAsia" w:ascii="宋体" w:hAnsi="宋体"/>
          <w:color w:val="00000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rPr>
          <w:rFonts w:ascii="宋体" w:hAnsi="宋体"/>
          <w:color w:val="000000"/>
          <w:szCs w:val="21"/>
        </w:rPr>
      </w:pPr>
      <w:r>
        <w:rPr>
          <w:rFonts w:hint="eastAsia" w:ascii="宋体" w:hAnsi="宋体"/>
          <w:color w:val="000000"/>
          <w:szCs w:val="21"/>
        </w:rPr>
        <w:t>　　（十六）其他未列明行业。从业人员300人以下的为中小微型企业。其中，从业人员100人及以上的为中型企业；从业人员10人及以上的为小型企业；从业人员10人以下的为微型企业。</w:t>
      </w:r>
    </w:p>
    <w:p>
      <w:pPr>
        <w:rPr>
          <w:rFonts w:ascii="宋体" w:hAnsi="宋体"/>
          <w:color w:val="000000"/>
          <w:szCs w:val="21"/>
        </w:rPr>
      </w:pPr>
      <w:r>
        <w:rPr>
          <w:rFonts w:hint="eastAsia" w:ascii="宋体" w:hAnsi="宋体"/>
          <w:color w:val="000000"/>
          <w:szCs w:val="21"/>
        </w:rPr>
        <w:t>　　五、企业类型的划分以统计部门的统计数据为依据。</w:t>
      </w:r>
    </w:p>
    <w:p>
      <w:pPr>
        <w:rPr>
          <w:rFonts w:ascii="宋体" w:hAnsi="宋体"/>
          <w:color w:val="000000"/>
          <w:szCs w:val="21"/>
        </w:rPr>
      </w:pPr>
      <w:r>
        <w:rPr>
          <w:rFonts w:hint="eastAsia" w:ascii="宋体" w:hAnsi="宋体"/>
          <w:color w:val="000000"/>
          <w:szCs w:val="21"/>
        </w:rPr>
        <w:t>　　六、本规定适用于在中华人民共和国境内依法设立的各类所有制和各种组织形式的企业。个体工商户和本规定以外的行业，参照本规定进行划型。</w:t>
      </w:r>
    </w:p>
    <w:p>
      <w:pPr>
        <w:rPr>
          <w:rFonts w:ascii="宋体" w:hAnsi="宋体"/>
          <w:color w:val="000000"/>
          <w:szCs w:val="21"/>
        </w:rPr>
      </w:pPr>
      <w:r>
        <w:rPr>
          <w:rFonts w:hint="eastAsia" w:ascii="宋体" w:hAnsi="宋体"/>
          <w:color w:val="000000"/>
          <w:szCs w:val="21"/>
        </w:rPr>
        <w:t>　　七、本规定的中型企业标准上限即为大型企业标准的下限，国家统计部门据此制定大中小微型企业的统计分类。国务院有关部门据此进行相关数据分析，不得制定与本规定不一致的企业划型标准。</w:t>
      </w:r>
    </w:p>
    <w:p>
      <w:pPr>
        <w:rPr>
          <w:rFonts w:ascii="宋体" w:hAnsi="宋体"/>
          <w:color w:val="000000"/>
          <w:szCs w:val="21"/>
        </w:rPr>
      </w:pPr>
      <w:r>
        <w:rPr>
          <w:rFonts w:hint="eastAsia" w:ascii="宋体" w:hAnsi="宋体"/>
          <w:color w:val="000000"/>
          <w:szCs w:val="21"/>
        </w:rPr>
        <w:t>　　八、本规定由工业和信息化部、国家统计局会同有关部门根据《国民经济行业分类》修订情况和企业发展变化情况适时修订。</w:t>
      </w:r>
    </w:p>
    <w:p>
      <w:pPr>
        <w:rPr>
          <w:rFonts w:ascii="宋体" w:hAnsi="宋体"/>
          <w:color w:val="000000"/>
          <w:szCs w:val="21"/>
        </w:rPr>
      </w:pPr>
      <w:r>
        <w:rPr>
          <w:rFonts w:hint="eastAsia" w:ascii="宋体" w:hAnsi="宋体"/>
          <w:color w:val="000000"/>
          <w:szCs w:val="21"/>
        </w:rPr>
        <w:t>　　九、本规定由工业和信息化部、国家统计局会同有关部门负责解释。</w:t>
      </w:r>
    </w:p>
    <w:p>
      <w:r>
        <w:rPr>
          <w:rFonts w:hint="eastAsia" w:ascii="宋体" w:hAnsi="宋体"/>
          <w:color w:val="000000"/>
          <w:szCs w:val="21"/>
        </w:rPr>
        <w:t>　　十、本规定自发布之日起执行，原国家经贸委、原国家计委、财政部和国家统计局2003年颁布的《中小企业标准暂行规定》同时废止。</w:t>
      </w:r>
    </w:p>
    <w:p>
      <w:pPr>
        <w:pStyle w:val="6"/>
        <w:spacing w:before="0" w:after="0"/>
        <w:jc w:val="center"/>
        <w:rPr>
          <w:rFonts w:ascii="宋体" w:hAnsi="宋体"/>
          <w:bCs w:val="0"/>
        </w:rPr>
      </w:pPr>
      <w:bookmarkStart w:id="250" w:name="_Toc73613646"/>
      <w:bookmarkStart w:id="251" w:name="_Toc73610164"/>
    </w:p>
    <w:p>
      <w:pPr>
        <w:pStyle w:val="6"/>
        <w:spacing w:before="0" w:after="0"/>
        <w:jc w:val="center"/>
        <w:rPr>
          <w:rFonts w:ascii="宋体" w:hAnsi="宋体"/>
          <w:bCs w:val="0"/>
        </w:rPr>
      </w:pPr>
    </w:p>
    <w:p>
      <w:pPr>
        <w:pStyle w:val="6"/>
        <w:spacing w:before="0" w:after="0"/>
        <w:jc w:val="center"/>
        <w:rPr>
          <w:rFonts w:ascii="宋体" w:hAnsi="宋体"/>
        </w:rPr>
      </w:pPr>
      <w:r>
        <w:rPr>
          <w:rFonts w:hint="eastAsia" w:ascii="宋体" w:hAnsi="宋体"/>
          <w:bCs w:val="0"/>
        </w:rPr>
        <w:t>三、</w:t>
      </w:r>
      <w:r>
        <w:rPr>
          <w:rFonts w:ascii="宋体" w:hAnsi="宋体"/>
          <w:bCs w:val="0"/>
        </w:rPr>
        <w:t>国家统计局关于印发《统计上大中小微型企业划分办法 （2017）》的通知</w:t>
      </w:r>
      <w:bookmarkEnd w:id="250"/>
      <w:bookmarkEnd w:id="251"/>
      <w:r>
        <w:rPr>
          <w:rFonts w:ascii="宋体" w:hAnsi="宋体"/>
          <w:bCs w:val="0"/>
        </w:rPr>
        <w:t> </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ascii="宋体" w:hAnsi="宋体" w:cs="宋体"/>
          <w:kern w:val="0"/>
          <w:szCs w:val="21"/>
        </w:rPr>
        <w:t>各省、自治区、直辖市统计局，新疆生产建设兵团统计局，国务院各有关部门，国家统计局各调查总队：</w:t>
      </w:r>
    </w:p>
    <w:p>
      <w:pPr>
        <w:widowControl/>
        <w:spacing w:line="360" w:lineRule="auto"/>
        <w:ind w:firstLine="371" w:firstLineChars="177"/>
        <w:jc w:val="left"/>
        <w:rPr>
          <w:rFonts w:ascii="宋体" w:hAnsi="宋体" w:cs="宋体"/>
          <w:kern w:val="0"/>
          <w:szCs w:val="21"/>
        </w:rPr>
      </w:pPr>
      <w:r>
        <w:rPr>
          <w:rFonts w:ascii="宋体" w:hAnsi="宋体" w:cs="宋体"/>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pacing w:line="360" w:lineRule="auto"/>
        <w:jc w:val="left"/>
        <w:rPr>
          <w:rFonts w:ascii="宋体" w:hAnsi="宋体" w:cs="宋体"/>
          <w:kern w:val="0"/>
          <w:szCs w:val="21"/>
        </w:rPr>
      </w:pPr>
      <w:r>
        <w:rPr>
          <w:rFonts w:ascii="宋体" w:hAnsi="宋体" w:cs="宋体"/>
          <w:kern w:val="0"/>
          <w:szCs w:val="21"/>
        </w:rPr>
        <w:t>附件：《统计上大中小微型企业划分办法（2017）》修订说明</w:t>
      </w:r>
    </w:p>
    <w:p>
      <w:pPr>
        <w:widowControl/>
        <w:spacing w:line="360" w:lineRule="auto"/>
        <w:jc w:val="right"/>
        <w:rPr>
          <w:rFonts w:ascii="宋体" w:hAnsi="宋体" w:cs="宋体"/>
          <w:kern w:val="0"/>
          <w:szCs w:val="21"/>
        </w:rPr>
      </w:pPr>
      <w:r>
        <w:rPr>
          <w:rFonts w:ascii="宋体" w:hAnsi="宋体" w:cs="宋体"/>
          <w:kern w:val="0"/>
          <w:szCs w:val="21"/>
        </w:rPr>
        <w:t>国家统计局</w:t>
      </w:r>
    </w:p>
    <w:p>
      <w:pPr>
        <w:widowControl/>
        <w:spacing w:line="360" w:lineRule="auto"/>
        <w:jc w:val="right"/>
        <w:rPr>
          <w:rFonts w:ascii="宋体" w:hAnsi="宋体" w:cs="宋体"/>
          <w:kern w:val="0"/>
          <w:szCs w:val="21"/>
        </w:rPr>
      </w:pPr>
      <w:r>
        <w:rPr>
          <w:rFonts w:ascii="宋体" w:hAnsi="宋体" w:cs="宋体"/>
          <w:kern w:val="0"/>
          <w:szCs w:val="21"/>
        </w:rPr>
        <w:t>2017年12月28日</w:t>
      </w:r>
    </w:p>
    <w:p>
      <w:pPr>
        <w:widowControl/>
        <w:spacing w:line="360" w:lineRule="auto"/>
        <w:jc w:val="center"/>
        <w:rPr>
          <w:rFonts w:ascii="宋体" w:hAnsi="宋体" w:cs="宋体"/>
          <w:b/>
          <w:bCs/>
          <w:kern w:val="0"/>
          <w:szCs w:val="21"/>
        </w:rPr>
      </w:pPr>
    </w:p>
    <w:p>
      <w:pPr>
        <w:widowControl/>
        <w:spacing w:line="360" w:lineRule="auto"/>
        <w:jc w:val="center"/>
        <w:rPr>
          <w:rFonts w:ascii="宋体" w:hAnsi="宋体" w:cs="宋体"/>
          <w:kern w:val="0"/>
          <w:szCs w:val="21"/>
        </w:rPr>
      </w:pPr>
      <w:r>
        <w:rPr>
          <w:rFonts w:ascii="宋体" w:hAnsi="宋体" w:cs="宋体"/>
          <w:b/>
          <w:bCs/>
          <w:kern w:val="0"/>
          <w:szCs w:val="21"/>
        </w:rPr>
        <w:br w:type="page"/>
      </w:r>
      <w:r>
        <w:rPr>
          <w:rFonts w:ascii="宋体" w:hAnsi="宋体" w:cs="宋体"/>
          <w:b/>
          <w:bCs/>
          <w:kern w:val="0"/>
          <w:szCs w:val="21"/>
        </w:rPr>
        <w:t>统计上大中小微型企业划分办法（2017）</w:t>
      </w:r>
    </w:p>
    <w:p>
      <w:pPr>
        <w:widowControl/>
        <w:spacing w:line="360" w:lineRule="auto"/>
        <w:jc w:val="left"/>
        <w:rPr>
          <w:rFonts w:ascii="宋体" w:hAnsi="宋体" w:cs="宋体"/>
          <w:kern w:val="0"/>
          <w:szCs w:val="21"/>
        </w:rPr>
      </w:pPr>
    </w:p>
    <w:p>
      <w:pPr>
        <w:widowControl/>
        <w:spacing w:line="360" w:lineRule="auto"/>
        <w:ind w:left="1" w:firstLine="371" w:firstLineChars="177"/>
        <w:jc w:val="left"/>
        <w:rPr>
          <w:rFonts w:ascii="宋体" w:hAnsi="宋体" w:cs="宋体"/>
          <w:kern w:val="0"/>
          <w:szCs w:val="21"/>
        </w:rPr>
      </w:pPr>
      <w:r>
        <w:rPr>
          <w:rFonts w:ascii="宋体" w:hAnsi="宋体" w:cs="宋体"/>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pacing w:line="360" w:lineRule="auto"/>
        <w:ind w:firstLine="371" w:firstLineChars="177"/>
        <w:jc w:val="left"/>
        <w:rPr>
          <w:rFonts w:ascii="宋体" w:hAnsi="宋体" w:cs="宋体"/>
          <w:kern w:val="0"/>
          <w:szCs w:val="21"/>
        </w:rPr>
      </w:pPr>
      <w:r>
        <w:rPr>
          <w:rFonts w:ascii="宋体" w:hAnsi="宋体" w:cs="宋体"/>
          <w:kern w:val="0"/>
          <w:szCs w:val="21"/>
        </w:rPr>
        <w:t>二、本办法适用对象为在中华人民共和国境内依法设立的各种组织形式的法人企业或单位。个体工商户参照本办法进行划分。</w:t>
      </w:r>
    </w:p>
    <w:p>
      <w:pPr>
        <w:widowControl/>
        <w:spacing w:line="360" w:lineRule="auto"/>
        <w:ind w:firstLine="371" w:firstLineChars="177"/>
        <w:jc w:val="left"/>
        <w:rPr>
          <w:rFonts w:ascii="宋体" w:hAnsi="宋体" w:cs="宋体"/>
          <w:kern w:val="0"/>
          <w:szCs w:val="21"/>
        </w:rPr>
      </w:pPr>
      <w:r>
        <w:rPr>
          <w:rFonts w:ascii="宋体" w:hAnsi="宋体" w:cs="宋体"/>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pacing w:line="360" w:lineRule="auto"/>
        <w:ind w:firstLine="371" w:firstLineChars="177"/>
        <w:jc w:val="left"/>
        <w:rPr>
          <w:rFonts w:ascii="宋体" w:hAnsi="宋体" w:cs="宋体"/>
          <w:kern w:val="0"/>
          <w:szCs w:val="21"/>
        </w:rPr>
      </w:pPr>
      <w:r>
        <w:rPr>
          <w:rFonts w:ascii="宋体" w:hAnsi="宋体" w:cs="宋体"/>
          <w:kern w:val="0"/>
          <w:szCs w:val="21"/>
        </w:rPr>
        <w:t>四、本办法按照行业门类、大类、中类和组合类别，依据从业人员、营业收入、资产总额等指标或替代指标，将我国的企业划分为大型、中型、小型、微型等四种类型。具体划分标准见附表。</w:t>
      </w:r>
    </w:p>
    <w:p>
      <w:pPr>
        <w:widowControl/>
        <w:spacing w:line="360" w:lineRule="auto"/>
        <w:ind w:firstLine="371" w:firstLineChars="177"/>
        <w:jc w:val="left"/>
        <w:rPr>
          <w:rFonts w:ascii="宋体" w:hAnsi="宋体" w:cs="宋体"/>
          <w:kern w:val="0"/>
          <w:szCs w:val="21"/>
        </w:rPr>
      </w:pPr>
      <w:r>
        <w:rPr>
          <w:rFonts w:ascii="宋体" w:hAnsi="宋体" w:cs="宋体"/>
          <w:kern w:val="0"/>
          <w:szCs w:val="21"/>
        </w:rPr>
        <w:t>五、企业划分由政府综合统计部门根据统计年报每年确定一次，定报统计原则上不进行调整。</w:t>
      </w:r>
    </w:p>
    <w:p>
      <w:pPr>
        <w:widowControl/>
        <w:spacing w:line="360" w:lineRule="auto"/>
        <w:ind w:left="1" w:firstLine="371" w:firstLineChars="177"/>
        <w:jc w:val="left"/>
        <w:rPr>
          <w:rFonts w:ascii="宋体" w:hAnsi="宋体" w:cs="宋体"/>
          <w:kern w:val="0"/>
          <w:szCs w:val="21"/>
        </w:rPr>
      </w:pPr>
      <w:r>
        <w:rPr>
          <w:rFonts w:ascii="宋体" w:hAnsi="宋体" w:cs="宋体"/>
          <w:kern w:val="0"/>
          <w:szCs w:val="21"/>
        </w:rPr>
        <w:t>六、本办法自印发之日起执行，国家统计局2011年印发的《统计上大中小微型企业划分办法》（国统字〔2011〕75号）同时废止。</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b/>
          <w:bCs/>
          <w:kern w:val="0"/>
          <w:szCs w:val="21"/>
        </w:rPr>
      </w:pPr>
      <w:r>
        <w:rPr>
          <w:rFonts w:ascii="宋体" w:hAnsi="宋体" w:cs="宋体"/>
          <w:b/>
          <w:bCs/>
          <w:kern w:val="0"/>
          <w:szCs w:val="21"/>
        </w:rPr>
        <w:t>附件</w:t>
      </w:r>
    </w:p>
    <w:p>
      <w:pPr>
        <w:widowControl/>
        <w:spacing w:line="360" w:lineRule="auto"/>
        <w:jc w:val="center"/>
        <w:rPr>
          <w:rFonts w:ascii="宋体" w:hAnsi="宋体" w:cs="宋体"/>
          <w:b/>
          <w:bCs/>
          <w:kern w:val="0"/>
          <w:szCs w:val="21"/>
        </w:rPr>
      </w:pPr>
      <w:r>
        <w:rPr>
          <w:rFonts w:ascii="宋体" w:hAnsi="宋体" w:cs="宋体"/>
          <w:b/>
          <w:bCs/>
          <w:kern w:val="0"/>
          <w:szCs w:val="21"/>
        </w:rPr>
        <w:t>《统计上大中小微型企业划分办法（2017）》修订说明</w:t>
      </w:r>
    </w:p>
    <w:p>
      <w:pPr>
        <w:widowControl/>
        <w:spacing w:line="360" w:lineRule="auto"/>
        <w:jc w:val="left"/>
        <w:rPr>
          <w:rFonts w:ascii="宋体" w:hAnsi="宋体" w:cs="宋体"/>
          <w:kern w:val="0"/>
          <w:szCs w:val="21"/>
        </w:rPr>
      </w:pPr>
    </w:p>
    <w:p>
      <w:pPr>
        <w:widowControl/>
        <w:spacing w:line="360" w:lineRule="auto"/>
        <w:ind w:firstLine="371" w:firstLineChars="177"/>
        <w:jc w:val="left"/>
        <w:rPr>
          <w:rFonts w:ascii="宋体" w:hAnsi="宋体" w:cs="宋体"/>
          <w:kern w:val="0"/>
          <w:szCs w:val="21"/>
        </w:rPr>
      </w:pPr>
      <w:r>
        <w:rPr>
          <w:rFonts w:ascii="宋体" w:hAnsi="宋体" w:cs="宋体"/>
          <w:kern w:val="0"/>
          <w:szCs w:val="21"/>
        </w:rPr>
        <w:t>一、修订背景</w:t>
      </w:r>
    </w:p>
    <w:p>
      <w:pPr>
        <w:widowControl/>
        <w:spacing w:line="360" w:lineRule="auto"/>
        <w:ind w:firstLine="371" w:firstLineChars="177"/>
        <w:jc w:val="left"/>
        <w:rPr>
          <w:rFonts w:ascii="宋体" w:hAnsi="宋体" w:cs="宋体"/>
          <w:kern w:val="0"/>
          <w:szCs w:val="21"/>
        </w:rPr>
      </w:pPr>
      <w:r>
        <w:rPr>
          <w:rFonts w:ascii="宋体" w:hAnsi="宋体" w:cs="宋体"/>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pPr>
        <w:widowControl/>
        <w:spacing w:line="360" w:lineRule="auto"/>
        <w:ind w:firstLine="371" w:firstLineChars="177"/>
        <w:jc w:val="left"/>
        <w:rPr>
          <w:rFonts w:ascii="宋体" w:hAnsi="宋体" w:cs="宋体"/>
          <w:kern w:val="0"/>
          <w:szCs w:val="21"/>
        </w:rPr>
      </w:pPr>
      <w:r>
        <w:rPr>
          <w:rFonts w:ascii="宋体" w:hAnsi="宋体" w:cs="宋体"/>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pPr>
        <w:widowControl/>
        <w:spacing w:line="360" w:lineRule="auto"/>
        <w:ind w:firstLine="371" w:firstLineChars="177"/>
        <w:jc w:val="left"/>
        <w:rPr>
          <w:rFonts w:ascii="宋体" w:hAnsi="宋体" w:cs="宋体"/>
          <w:kern w:val="0"/>
          <w:szCs w:val="21"/>
        </w:rPr>
      </w:pPr>
      <w:r>
        <w:rPr>
          <w:rFonts w:ascii="宋体" w:hAnsi="宋体" w:cs="宋体"/>
          <w:kern w:val="0"/>
          <w:szCs w:val="21"/>
        </w:rPr>
        <w:t>二、修订主要内容</w:t>
      </w:r>
    </w:p>
    <w:p>
      <w:pPr>
        <w:widowControl/>
        <w:spacing w:line="360" w:lineRule="auto"/>
        <w:ind w:firstLine="371" w:firstLineChars="177"/>
        <w:jc w:val="left"/>
        <w:rPr>
          <w:rFonts w:ascii="宋体" w:hAnsi="宋体" w:cs="宋体"/>
          <w:kern w:val="0"/>
          <w:szCs w:val="21"/>
        </w:rPr>
      </w:pPr>
      <w:r>
        <w:rPr>
          <w:rFonts w:ascii="宋体" w:hAnsi="宋体" w:cs="宋体"/>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pPr>
        <w:widowControl/>
        <w:spacing w:line="360" w:lineRule="auto"/>
        <w:ind w:firstLine="371" w:firstLineChars="177"/>
        <w:jc w:val="left"/>
        <w:rPr>
          <w:rFonts w:ascii="宋体" w:hAnsi="宋体" w:cs="宋体"/>
          <w:kern w:val="0"/>
          <w:szCs w:val="21"/>
        </w:rPr>
      </w:pPr>
      <w:r>
        <w:rPr>
          <w:rFonts w:ascii="宋体" w:hAnsi="宋体" w:cs="宋体"/>
          <w:kern w:val="0"/>
          <w:szCs w:val="21"/>
        </w:rPr>
        <w:t>将交通运输业中包括的“装卸搬运和运输代理业”修改为“多式联运和运输代理业、装卸搬运”。</w:t>
      </w:r>
    </w:p>
    <w:p>
      <w:pPr>
        <w:widowControl/>
        <w:spacing w:line="360" w:lineRule="auto"/>
        <w:jc w:val="left"/>
        <w:rPr>
          <w:rFonts w:ascii="宋体" w:hAnsi="宋体" w:cs="宋体"/>
          <w:kern w:val="0"/>
          <w:szCs w:val="21"/>
        </w:rPr>
      </w:pPr>
      <w:r>
        <w:rPr>
          <w:rFonts w:ascii="宋体" w:hAnsi="宋体" w:cs="宋体"/>
          <w:kern w:val="0"/>
          <w:szCs w:val="21"/>
        </w:rPr>
        <w:t>仓储业所包括的行业中类，根据《国民经济行业分类》（GB/T 4754—2017）调整为“通用仓储，低温仓储，危险品仓储，谷物、棉花等农产品仓储，中药材仓储和其他仓储业”。</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ascii="宋体" w:hAnsi="宋体" w:cs="宋体"/>
          <w:kern w:val="0"/>
          <w:szCs w:val="21"/>
        </w:rPr>
        <w:t>附表</w:t>
      </w:r>
    </w:p>
    <w:p>
      <w:pPr>
        <w:widowControl/>
        <w:spacing w:line="360" w:lineRule="auto"/>
        <w:jc w:val="center"/>
        <w:rPr>
          <w:rFonts w:ascii="宋体" w:hAnsi="宋体" w:cs="宋体"/>
          <w:kern w:val="0"/>
          <w:szCs w:val="21"/>
        </w:rPr>
      </w:pPr>
      <w:r>
        <w:rPr>
          <w:rFonts w:ascii="宋体" w:hAnsi="宋体" w:cs="宋体"/>
          <w:b/>
          <w:bCs/>
          <w:kern w:val="0"/>
          <w:szCs w:val="21"/>
        </w:rPr>
        <w:t>统计上大中小微型企业划分标准</w:t>
      </w:r>
    </w:p>
    <w:tbl>
      <w:tblPr>
        <w:tblStyle w:val="44"/>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p>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vAlign w:val="center"/>
          </w:tcPr>
          <w:p>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vAlign w:val="center"/>
          </w:tcPr>
          <w:p>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vAlign w:val="center"/>
          </w:tcPr>
          <w:p>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pPr>
        <w:widowControl/>
        <w:spacing w:line="360" w:lineRule="auto"/>
        <w:jc w:val="left"/>
        <w:rPr>
          <w:rFonts w:ascii="宋体" w:hAnsi="宋体" w:cs="宋体"/>
          <w:kern w:val="0"/>
          <w:szCs w:val="21"/>
        </w:rPr>
      </w:pPr>
      <w:r>
        <w:rPr>
          <w:rFonts w:ascii="宋体" w:hAnsi="宋体" w:cs="宋体"/>
          <w:kern w:val="0"/>
          <w:szCs w:val="21"/>
        </w:rPr>
        <w:t>说明：</w:t>
      </w:r>
    </w:p>
    <w:p>
      <w:pPr>
        <w:widowControl/>
        <w:spacing w:line="360" w:lineRule="auto"/>
        <w:ind w:firstLine="371" w:firstLineChars="177"/>
        <w:jc w:val="left"/>
        <w:rPr>
          <w:rFonts w:ascii="宋体" w:hAnsi="宋体" w:cs="宋体"/>
          <w:kern w:val="0"/>
          <w:szCs w:val="21"/>
        </w:rPr>
      </w:pPr>
      <w:r>
        <w:rPr>
          <w:rFonts w:ascii="宋体" w:hAnsi="宋体" w:cs="宋体"/>
          <w:kern w:val="0"/>
          <w:szCs w:val="21"/>
        </w:rPr>
        <w:t>1.大型、中型和小型企业须同时满足所列指标的下限，否则下划一档；微型企业只须满足所列指标中的一项即可。</w:t>
      </w:r>
    </w:p>
    <w:p>
      <w:pPr>
        <w:widowControl/>
        <w:spacing w:line="360" w:lineRule="auto"/>
        <w:ind w:firstLine="371" w:firstLineChars="177"/>
        <w:jc w:val="left"/>
        <w:rPr>
          <w:rFonts w:ascii="宋体" w:hAnsi="宋体" w:cs="宋体"/>
          <w:kern w:val="0"/>
          <w:szCs w:val="21"/>
        </w:rPr>
      </w:pPr>
      <w:r>
        <w:rPr>
          <w:rFonts w:ascii="宋体" w:hAnsi="宋体" w:cs="宋体"/>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pacing w:line="360" w:lineRule="auto"/>
        <w:ind w:firstLine="371" w:firstLineChars="177"/>
        <w:jc w:val="left"/>
        <w:rPr>
          <w:rFonts w:ascii="宋体" w:hAnsi="宋体" w:cs="宋体"/>
          <w:kern w:val="0"/>
          <w:szCs w:val="21"/>
        </w:rPr>
      </w:pPr>
      <w:r>
        <w:rPr>
          <w:rFonts w:ascii="宋体" w:hAnsi="宋体" w:cs="宋体"/>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spacing w:line="360" w:lineRule="auto"/>
        <w:rPr>
          <w:rFonts w:ascii="宋体" w:hAnsi="宋体"/>
          <w:szCs w:val="21"/>
        </w:rPr>
      </w:pPr>
    </w:p>
    <w:p>
      <w:pPr>
        <w:pStyle w:val="6"/>
        <w:spacing w:before="0" w:after="0"/>
        <w:jc w:val="center"/>
      </w:pPr>
      <w:bookmarkStart w:id="252" w:name="_Toc73610165"/>
      <w:bookmarkStart w:id="253" w:name="_Toc73613647"/>
      <w:r>
        <w:rPr>
          <w:rFonts w:hint="eastAsia"/>
        </w:rPr>
        <w:br w:type="page"/>
      </w:r>
      <w:r>
        <w:rPr>
          <w:rFonts w:hint="eastAsia"/>
        </w:rPr>
        <w:t>四、</w:t>
      </w:r>
      <w:r>
        <w:t>财政部 民政部 中国残疾人联合会关于促进残疾人就业 政府采购政策的通知</w:t>
      </w:r>
      <w:bookmarkEnd w:id="252"/>
      <w:bookmarkEnd w:id="253"/>
      <w:r>
        <w:t xml:space="preserve"> </w:t>
      </w:r>
    </w:p>
    <w:p>
      <w:pPr>
        <w:widowControl/>
        <w:spacing w:line="360" w:lineRule="auto"/>
        <w:jc w:val="center"/>
        <w:rPr>
          <w:rFonts w:ascii="宋体" w:hAnsi="宋体" w:cs="宋体"/>
          <w:b/>
          <w:bCs/>
          <w:kern w:val="0"/>
          <w:szCs w:val="21"/>
        </w:rPr>
      </w:pPr>
      <w:r>
        <w:rPr>
          <w:rFonts w:ascii="宋体" w:hAnsi="宋体" w:cs="宋体"/>
          <w:b/>
          <w:bCs/>
          <w:kern w:val="0"/>
          <w:szCs w:val="21"/>
        </w:rPr>
        <w:t>财库〔2017〕141号</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pPr>
        <w:widowControl/>
        <w:spacing w:line="360" w:lineRule="auto"/>
        <w:jc w:val="left"/>
        <w:rPr>
          <w:rFonts w:ascii="宋体" w:hAnsi="宋体" w:cs="宋体"/>
          <w:kern w:val="0"/>
          <w:szCs w:val="21"/>
        </w:rPr>
      </w:pPr>
      <w:r>
        <w:rPr>
          <w:rFonts w:hint="eastAsia" w:ascii="宋体" w:hAnsi="宋体" w:cs="宋体"/>
          <w:kern w:val="0"/>
          <w:szCs w:val="21"/>
        </w:rPr>
        <w:t>　　为了发挥政府采购促进残疾人就业的作用，进一步保障残疾人权益，依照《政府采购法》、《残疾人保障法》等法律法规及相关规定，现就促进残疾人就业政府采购政策通知如下：</w:t>
      </w:r>
    </w:p>
    <w:p>
      <w:pPr>
        <w:widowControl/>
        <w:spacing w:line="360" w:lineRule="auto"/>
        <w:jc w:val="left"/>
        <w:rPr>
          <w:rFonts w:ascii="宋体" w:hAnsi="宋体" w:cs="宋体"/>
          <w:kern w:val="0"/>
          <w:szCs w:val="21"/>
        </w:rPr>
      </w:pPr>
      <w:r>
        <w:rPr>
          <w:rFonts w:hint="eastAsia" w:ascii="宋体" w:hAnsi="宋体" w:cs="宋体"/>
          <w:kern w:val="0"/>
          <w:szCs w:val="21"/>
        </w:rPr>
        <w:t>　　一、享受政府采购支持政策的残疾人福利性单位应当同时满足以下条件：</w:t>
      </w:r>
    </w:p>
    <w:p>
      <w:pPr>
        <w:widowControl/>
        <w:spacing w:line="360" w:lineRule="auto"/>
        <w:jc w:val="left"/>
        <w:rPr>
          <w:rFonts w:ascii="宋体" w:hAnsi="宋体" w:cs="宋体"/>
          <w:kern w:val="0"/>
          <w:szCs w:val="21"/>
        </w:rPr>
      </w:pPr>
      <w:r>
        <w:rPr>
          <w:rFonts w:hint="eastAsia" w:ascii="宋体" w:hAnsi="宋体" w:cs="宋体"/>
          <w:kern w:val="0"/>
          <w:szCs w:val="21"/>
        </w:rPr>
        <w:t>　　（一）安置的残疾人占本单位在职职工人数的比例不低于25%（含25%），并且安置的残疾人人数不少于10人（含10人）；</w:t>
      </w:r>
    </w:p>
    <w:p>
      <w:pPr>
        <w:widowControl/>
        <w:spacing w:line="360" w:lineRule="auto"/>
        <w:jc w:val="left"/>
        <w:rPr>
          <w:rFonts w:ascii="宋体" w:hAnsi="宋体" w:cs="宋体"/>
          <w:kern w:val="0"/>
          <w:szCs w:val="21"/>
        </w:rPr>
      </w:pPr>
      <w:r>
        <w:rPr>
          <w:rFonts w:hint="eastAsia" w:ascii="宋体" w:hAnsi="宋体" w:cs="宋体"/>
          <w:kern w:val="0"/>
          <w:szCs w:val="21"/>
        </w:rPr>
        <w:t>　　（二）依法与安置的每位残疾人签订了一年以上（含一年）的劳动合同或服务协议；</w:t>
      </w:r>
    </w:p>
    <w:p>
      <w:pPr>
        <w:widowControl/>
        <w:spacing w:line="360" w:lineRule="auto"/>
        <w:jc w:val="left"/>
        <w:rPr>
          <w:rFonts w:ascii="宋体" w:hAnsi="宋体" w:cs="宋体"/>
          <w:kern w:val="0"/>
          <w:szCs w:val="21"/>
        </w:rPr>
      </w:pPr>
      <w:r>
        <w:rPr>
          <w:rFonts w:hint="eastAsia" w:ascii="宋体" w:hAnsi="宋体" w:cs="宋体"/>
          <w:kern w:val="0"/>
          <w:szCs w:val="21"/>
        </w:rPr>
        <w:t>　　（三）为安置的每位残疾人按月足额缴纳了基本养老保险、基本医疗保险、失业保险、工伤保险和生育保险等社会保险费；</w:t>
      </w:r>
    </w:p>
    <w:p>
      <w:pPr>
        <w:widowControl/>
        <w:spacing w:line="360" w:lineRule="auto"/>
        <w:jc w:val="left"/>
        <w:rPr>
          <w:rFonts w:ascii="宋体" w:hAnsi="宋体" w:cs="宋体"/>
          <w:kern w:val="0"/>
          <w:szCs w:val="21"/>
        </w:rPr>
      </w:pPr>
      <w:r>
        <w:rPr>
          <w:rFonts w:hint="eastAsia" w:ascii="宋体" w:hAnsi="宋体" w:cs="宋体"/>
          <w:kern w:val="0"/>
          <w:szCs w:val="21"/>
        </w:rPr>
        <w:t>　　（四）通过银行等金融机构向安置的每位残疾人，按月支付了不低于单位所在区县适用的经省级人民政府批准的月最低工资标准的工资；</w:t>
      </w:r>
    </w:p>
    <w:p>
      <w:pPr>
        <w:widowControl/>
        <w:spacing w:line="360" w:lineRule="auto"/>
        <w:jc w:val="left"/>
        <w:rPr>
          <w:rFonts w:ascii="宋体" w:hAnsi="宋体" w:cs="宋体"/>
          <w:kern w:val="0"/>
          <w:szCs w:val="21"/>
        </w:rPr>
      </w:pPr>
      <w:r>
        <w:rPr>
          <w:rFonts w:hint="eastAsia" w:ascii="宋体" w:hAnsi="宋体" w:cs="宋体"/>
          <w:kern w:val="0"/>
          <w:szCs w:val="21"/>
        </w:rPr>
        <w:t>　　（五）提供本单位制造的货物、承担的工程或者服务（以下简称产品），或者提供其他残疾人福利性单位制造的货物（不包括使用非残疾人福利性单位注册商标的货物）。</w:t>
      </w:r>
    </w:p>
    <w:p>
      <w:pPr>
        <w:widowControl/>
        <w:spacing w:line="360" w:lineRule="auto"/>
        <w:jc w:val="left"/>
        <w:rPr>
          <w:rFonts w:ascii="宋体" w:hAnsi="宋体" w:cs="宋体"/>
          <w:kern w:val="0"/>
          <w:szCs w:val="21"/>
        </w:rPr>
      </w:pPr>
      <w:r>
        <w:rPr>
          <w:rFonts w:hint="eastAsia" w:ascii="宋体" w:hAnsi="宋体" w:cs="宋体"/>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widowControl/>
        <w:spacing w:line="360" w:lineRule="auto"/>
        <w:jc w:val="left"/>
        <w:rPr>
          <w:rFonts w:ascii="宋体" w:hAnsi="宋体" w:cs="宋体"/>
          <w:kern w:val="0"/>
          <w:szCs w:val="21"/>
        </w:rPr>
      </w:pPr>
      <w:r>
        <w:rPr>
          <w:rFonts w:hint="eastAsia" w:ascii="宋体" w:hAnsi="宋体" w:cs="宋体"/>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widowControl/>
        <w:spacing w:line="360" w:lineRule="auto"/>
        <w:jc w:val="left"/>
        <w:rPr>
          <w:rFonts w:ascii="宋体" w:hAnsi="宋体" w:cs="宋体"/>
          <w:kern w:val="0"/>
          <w:szCs w:val="21"/>
        </w:rPr>
      </w:pPr>
      <w:r>
        <w:rPr>
          <w:rFonts w:hint="eastAsia" w:ascii="宋体" w:hAnsi="宋体" w:cs="宋体"/>
          <w:kern w:val="0"/>
          <w:szCs w:val="21"/>
        </w:rPr>
        <w:t>　　中标、成交供应商为残疾人福利性单位的，采购人或者其委托的采购代理机构应当随中标、成交结果同时公告其《残疾人福利性单位声明函》，接受社会监督。</w:t>
      </w:r>
    </w:p>
    <w:p>
      <w:pPr>
        <w:widowControl/>
        <w:spacing w:line="360" w:lineRule="auto"/>
        <w:jc w:val="left"/>
        <w:rPr>
          <w:rFonts w:ascii="宋体" w:hAnsi="宋体" w:cs="宋体"/>
          <w:kern w:val="0"/>
          <w:szCs w:val="21"/>
        </w:rPr>
      </w:pPr>
      <w:r>
        <w:rPr>
          <w:rFonts w:hint="eastAsia" w:ascii="宋体" w:hAnsi="宋体" w:cs="宋体"/>
          <w:kern w:val="0"/>
          <w:szCs w:val="21"/>
        </w:rPr>
        <w:t>　　供应商提供的《残疾人福利性单位声明函》与事实不符的，依照《政府采购法》第七十七条第一款的规定追究法律责任。</w:t>
      </w:r>
    </w:p>
    <w:p>
      <w:pPr>
        <w:widowControl/>
        <w:spacing w:line="360" w:lineRule="auto"/>
        <w:jc w:val="left"/>
        <w:rPr>
          <w:rFonts w:ascii="宋体" w:hAnsi="宋体" w:cs="宋体"/>
          <w:kern w:val="0"/>
          <w:szCs w:val="21"/>
        </w:rPr>
      </w:pPr>
      <w:r>
        <w:rPr>
          <w:rFonts w:hint="eastAsia" w:ascii="宋体" w:hAnsi="宋体" w:cs="宋体"/>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widowControl/>
        <w:spacing w:line="360" w:lineRule="auto"/>
        <w:jc w:val="left"/>
        <w:rPr>
          <w:rFonts w:ascii="宋体" w:hAnsi="宋体" w:cs="宋体"/>
          <w:kern w:val="0"/>
          <w:szCs w:val="21"/>
        </w:rPr>
      </w:pPr>
      <w:r>
        <w:rPr>
          <w:rFonts w:hint="eastAsia" w:ascii="宋体" w:hAnsi="宋体" w:cs="宋体"/>
          <w:kern w:val="0"/>
          <w:szCs w:val="21"/>
        </w:rPr>
        <w:t>　　四、采购人采购公开招标数额标准以上的货物或者服务，因落实促进残疾人就业政策的需要，依法履行有关报批程序后，可采用公开招标以外的采购方式。</w:t>
      </w:r>
    </w:p>
    <w:p>
      <w:pPr>
        <w:widowControl/>
        <w:spacing w:line="360" w:lineRule="auto"/>
        <w:jc w:val="left"/>
        <w:rPr>
          <w:rFonts w:ascii="宋体" w:hAnsi="宋体" w:cs="宋体"/>
          <w:kern w:val="0"/>
          <w:szCs w:val="21"/>
        </w:rPr>
      </w:pPr>
      <w:r>
        <w:rPr>
          <w:rFonts w:hint="eastAsia" w:ascii="宋体" w:hAnsi="宋体" w:cs="宋体"/>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widowControl/>
        <w:spacing w:line="360" w:lineRule="auto"/>
        <w:jc w:val="left"/>
        <w:rPr>
          <w:rFonts w:ascii="宋体" w:hAnsi="宋体" w:cs="宋体"/>
          <w:kern w:val="0"/>
          <w:szCs w:val="21"/>
        </w:rPr>
      </w:pPr>
      <w:r>
        <w:rPr>
          <w:rFonts w:hint="eastAsia" w:ascii="宋体" w:hAnsi="宋体" w:cs="宋体"/>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widowControl/>
        <w:spacing w:line="360" w:lineRule="auto"/>
        <w:jc w:val="left"/>
        <w:rPr>
          <w:rFonts w:ascii="宋体" w:hAnsi="宋体" w:cs="宋体"/>
          <w:kern w:val="0"/>
          <w:szCs w:val="21"/>
        </w:rPr>
      </w:pPr>
      <w:r>
        <w:rPr>
          <w:rFonts w:hint="eastAsia" w:ascii="宋体" w:hAnsi="宋体" w:cs="宋体"/>
          <w:kern w:val="0"/>
          <w:szCs w:val="21"/>
        </w:rPr>
        <w:t>　　七、本通知自2017年10月1日起执行。</w:t>
      </w:r>
    </w:p>
    <w:p>
      <w:pPr>
        <w:widowControl/>
        <w:spacing w:line="360" w:lineRule="auto"/>
        <w:jc w:val="left"/>
        <w:rPr>
          <w:rFonts w:ascii="宋体" w:hAnsi="宋体" w:cs="宋体"/>
          <w:kern w:val="0"/>
          <w:szCs w:val="21"/>
        </w:rPr>
      </w:pPr>
      <w:r>
        <w:rPr>
          <w:rFonts w:ascii="宋体" w:hAnsi="宋体" w:cs="宋体"/>
          <w:kern w:val="0"/>
          <w:szCs w:val="21"/>
        </w:rPr>
        <w:t>　　</w:t>
      </w:r>
    </w:p>
    <w:p>
      <w:pPr>
        <w:widowControl/>
        <w:spacing w:line="360" w:lineRule="auto"/>
        <w:jc w:val="right"/>
        <w:rPr>
          <w:rFonts w:ascii="宋体" w:hAnsi="宋体" w:cs="宋体"/>
          <w:kern w:val="0"/>
          <w:szCs w:val="21"/>
        </w:rPr>
      </w:pPr>
      <w:r>
        <w:rPr>
          <w:rFonts w:hint="eastAsia" w:ascii="宋体" w:hAnsi="宋体" w:cs="宋体"/>
          <w:kern w:val="0"/>
          <w:szCs w:val="21"/>
        </w:rPr>
        <w:t>财政部 民政部 中国残疾人联合会</w:t>
      </w:r>
    </w:p>
    <w:p>
      <w:pPr>
        <w:widowControl/>
        <w:spacing w:line="360" w:lineRule="auto"/>
        <w:jc w:val="right"/>
        <w:rPr>
          <w:rFonts w:ascii="宋体" w:hAnsi="宋体" w:cs="宋体"/>
          <w:kern w:val="0"/>
          <w:szCs w:val="21"/>
        </w:rPr>
      </w:pPr>
    </w:p>
    <w:p>
      <w:pPr>
        <w:widowControl/>
        <w:spacing w:line="360" w:lineRule="auto"/>
        <w:jc w:val="right"/>
        <w:rPr>
          <w:rFonts w:ascii="宋体" w:hAnsi="宋体" w:cs="宋体"/>
          <w:kern w:val="0"/>
          <w:szCs w:val="21"/>
        </w:rPr>
      </w:pPr>
      <w:r>
        <w:rPr>
          <w:rFonts w:hint="eastAsia" w:ascii="宋体" w:hAnsi="宋体" w:cs="宋体"/>
          <w:kern w:val="0"/>
          <w:szCs w:val="21"/>
        </w:rPr>
        <w:t>  2017年8月22日</w:t>
      </w:r>
    </w:p>
    <w:p>
      <w:pPr>
        <w:tabs>
          <w:tab w:val="left" w:pos="1875"/>
        </w:tabs>
      </w:pPr>
    </w:p>
    <w:p/>
    <w:p>
      <w:pPr>
        <w:rPr>
          <w:rFonts w:ascii="宋体" w:hAnsi="宋体" w:cs="宋体"/>
          <w:szCs w:val="21"/>
        </w:rPr>
      </w:pPr>
    </w:p>
    <w:p>
      <w:pPr>
        <w:ind w:left="-907" w:leftChars="-432"/>
        <w:jc w:val="center"/>
        <w:rPr>
          <w:rFonts w:ascii="宋体" w:hAnsi="宋体" w:cs="宋体"/>
          <w:sz w:val="22"/>
        </w:rPr>
      </w:pPr>
    </w:p>
    <w:p>
      <w:pPr>
        <w:pStyle w:val="3"/>
        <w:ind w:left="294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roman"/>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 Yb 2gj">
    <w:altName w:val="黑体"/>
    <w:panose1 w:val="00000000000000000000"/>
    <w:charset w:val="86"/>
    <w:family w:val="auto"/>
    <w:pitch w:val="default"/>
    <w:sig w:usb0="00000000" w:usb1="00000000" w:usb2="00000010" w:usb3="00000000" w:csb0="00040000" w:csb1="00000000"/>
  </w:font>
  <w:font w:name="长城仿宋">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文鼎粗黑">
    <w:altName w:val="黑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8"/>
      </w:rPr>
    </w:pPr>
    <w:r>
      <w:fldChar w:fldCharType="begin"/>
    </w:r>
    <w:r>
      <w:rPr>
        <w:rStyle w:val="48"/>
      </w:rPr>
      <w:instrText xml:space="preserve">PAGE  </w:instrText>
    </w:r>
    <w:r>
      <w:fldChar w:fldCharType="end"/>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p>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8BE4F"/>
    <w:multiLevelType w:val="singleLevel"/>
    <w:tmpl w:val="9A48BE4F"/>
    <w:lvl w:ilvl="0" w:tentative="0">
      <w:start w:val="1"/>
      <w:numFmt w:val="chineseCounting"/>
      <w:suff w:val="nothing"/>
      <w:lvlText w:val="（%1）"/>
      <w:lvlJc w:val="left"/>
      <w:pPr>
        <w:ind w:left="0" w:firstLine="420"/>
      </w:pPr>
      <w:rPr>
        <w:rFonts w:hint="eastAsia"/>
        <w:b/>
        <w:bCs/>
      </w:rPr>
    </w:lvl>
  </w:abstractNum>
  <w:abstractNum w:abstractNumId="1">
    <w:nsid w:val="BA63C659"/>
    <w:multiLevelType w:val="multilevel"/>
    <w:tmpl w:val="BA63C659"/>
    <w:lvl w:ilvl="0" w:tentative="0">
      <w:start w:val="1"/>
      <w:numFmt w:val="decimal"/>
      <w:lvlText w:val="%1."/>
      <w:lvlJc w:val="left"/>
      <w:pPr>
        <w:tabs>
          <w:tab w:val="left" w:pos="360"/>
        </w:tabs>
        <w:ind w:left="360" w:hanging="360"/>
      </w:pPr>
      <w:rPr>
        <w:rFonts w:hint="default" w:hAns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C1DCF720"/>
    <w:multiLevelType w:val="singleLevel"/>
    <w:tmpl w:val="C1DCF720"/>
    <w:lvl w:ilvl="0" w:tentative="0">
      <w:start w:val="1"/>
      <w:numFmt w:val="chineseCounting"/>
      <w:suff w:val="nothing"/>
      <w:lvlText w:val="%1、"/>
      <w:lvlJc w:val="left"/>
      <w:pPr>
        <w:ind w:left="0" w:firstLine="420"/>
      </w:pPr>
      <w:rPr>
        <w:rFonts w:hint="eastAsia"/>
      </w:rPr>
    </w:lvl>
  </w:abstractNum>
  <w:abstractNum w:abstractNumId="3">
    <w:nsid w:val="CEC97EAB"/>
    <w:multiLevelType w:val="singleLevel"/>
    <w:tmpl w:val="CEC97EAB"/>
    <w:lvl w:ilvl="0" w:tentative="0">
      <w:start w:val="1"/>
      <w:numFmt w:val="chineseCounting"/>
      <w:suff w:val="nothing"/>
      <w:lvlText w:val="%1、"/>
      <w:lvlJc w:val="left"/>
      <w:rPr>
        <w:rFonts w:hint="eastAsia"/>
      </w:rPr>
    </w:lvl>
  </w:abstractNum>
  <w:abstractNum w:abstractNumId="4">
    <w:nsid w:val="DB811B52"/>
    <w:multiLevelType w:val="singleLevel"/>
    <w:tmpl w:val="DB811B52"/>
    <w:lvl w:ilvl="0" w:tentative="0">
      <w:start w:val="1"/>
      <w:numFmt w:val="chineseCounting"/>
      <w:suff w:val="nothing"/>
      <w:lvlText w:val="%1、"/>
      <w:lvlJc w:val="left"/>
      <w:pPr>
        <w:ind w:left="0" w:firstLine="420"/>
      </w:pPr>
      <w:rPr>
        <w:rFonts w:hint="eastAsia"/>
      </w:rPr>
    </w:lvl>
  </w:abstractNum>
  <w:abstractNum w:abstractNumId="5">
    <w:nsid w:val="EC8AD509"/>
    <w:multiLevelType w:val="singleLevel"/>
    <w:tmpl w:val="EC8AD509"/>
    <w:lvl w:ilvl="0" w:tentative="0">
      <w:start w:val="1"/>
      <w:numFmt w:val="chineseCounting"/>
      <w:suff w:val="nothing"/>
      <w:lvlText w:val="（%1）"/>
      <w:lvlJc w:val="left"/>
      <w:pPr>
        <w:ind w:left="0" w:firstLine="420"/>
      </w:pPr>
      <w:rPr>
        <w:rFonts w:hint="eastAsia"/>
      </w:rPr>
    </w:lvl>
  </w:abstractNum>
  <w:abstractNum w:abstractNumId="6">
    <w:nsid w:val="13612676"/>
    <w:multiLevelType w:val="multilevel"/>
    <w:tmpl w:val="1361267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3693089E"/>
    <w:multiLevelType w:val="singleLevel"/>
    <w:tmpl w:val="3693089E"/>
    <w:lvl w:ilvl="0" w:tentative="0">
      <w:start w:val="1"/>
      <w:numFmt w:val="chineseCounting"/>
      <w:suff w:val="nothing"/>
      <w:lvlText w:val="%1、"/>
      <w:lvlJc w:val="left"/>
      <w:pPr>
        <w:ind w:left="0" w:firstLine="420"/>
      </w:pPr>
      <w:rPr>
        <w:rFonts w:hint="eastAsia"/>
      </w:rPr>
    </w:lvl>
  </w:abstractNum>
  <w:abstractNum w:abstractNumId="8">
    <w:nsid w:val="3EC84A5C"/>
    <w:multiLevelType w:val="multilevel"/>
    <w:tmpl w:val="3EC84A5C"/>
    <w:lvl w:ilvl="0" w:tentative="0">
      <w:start w:val="1"/>
      <w:numFmt w:val="decimal"/>
      <w:lvlText w:val="%1."/>
      <w:lvlJc w:val="left"/>
      <w:pPr>
        <w:tabs>
          <w:tab w:val="left" w:pos="907"/>
        </w:tabs>
        <w:ind w:left="907" w:hanging="907"/>
      </w:pPr>
      <w:rPr>
        <w:rFonts w:hint="eastAsia"/>
      </w:rPr>
    </w:lvl>
    <w:lvl w:ilvl="1" w:tentative="0">
      <w:start w:val="1"/>
      <w:numFmt w:val="decimal"/>
      <w:lvlText w:val="%1.%2."/>
      <w:lvlJc w:val="left"/>
      <w:pPr>
        <w:ind w:left="907" w:firstLine="0"/>
      </w:pPr>
      <w:rPr>
        <w:rFonts w:hint="eastAsia"/>
      </w:rPr>
    </w:lvl>
    <w:lvl w:ilvl="2" w:tentative="0">
      <w:start w:val="1"/>
      <w:numFmt w:val="decimal"/>
      <w:lvlText w:val="%1.%2.%3."/>
      <w:lvlJc w:val="left"/>
      <w:pPr>
        <w:ind w:left="1814" w:firstLine="0"/>
      </w:pPr>
      <w:rPr>
        <w:rFonts w:hint="eastAsia"/>
      </w:rPr>
    </w:lvl>
    <w:lvl w:ilvl="3" w:tentative="0">
      <w:start w:val="1"/>
      <w:numFmt w:val="decimal"/>
      <w:lvlText w:val="%1.%2.%3.%4."/>
      <w:lvlJc w:val="left"/>
      <w:pPr>
        <w:ind w:left="2721" w:firstLine="0"/>
      </w:pPr>
      <w:rPr>
        <w:rFonts w:hint="eastAsia"/>
      </w:rPr>
    </w:lvl>
    <w:lvl w:ilvl="4" w:tentative="0">
      <w:start w:val="1"/>
      <w:numFmt w:val="decimal"/>
      <w:lvlText w:val="%1.%2.%3.%4.%5."/>
      <w:lvlJc w:val="left"/>
      <w:pPr>
        <w:ind w:left="3628" w:firstLine="0"/>
      </w:pPr>
      <w:rPr>
        <w:rFonts w:hint="eastAsia"/>
      </w:rPr>
    </w:lvl>
    <w:lvl w:ilvl="5" w:tentative="0">
      <w:start w:val="1"/>
      <w:numFmt w:val="decimal"/>
      <w:lvlText w:val="%1.%2.%3.%4.%5.%6."/>
      <w:lvlJc w:val="left"/>
      <w:pPr>
        <w:ind w:left="4535" w:firstLine="0"/>
      </w:pPr>
      <w:rPr>
        <w:rFonts w:hint="eastAsia"/>
      </w:rPr>
    </w:lvl>
    <w:lvl w:ilvl="6" w:tentative="0">
      <w:start w:val="1"/>
      <w:numFmt w:val="decimal"/>
      <w:lvlText w:val="%1.%2.%3.%4.%5.%6.%7."/>
      <w:lvlJc w:val="left"/>
      <w:pPr>
        <w:ind w:left="5442" w:firstLine="0"/>
      </w:pPr>
      <w:rPr>
        <w:rFonts w:hint="eastAsia"/>
      </w:rPr>
    </w:lvl>
    <w:lvl w:ilvl="7" w:tentative="0">
      <w:start w:val="1"/>
      <w:numFmt w:val="decimal"/>
      <w:lvlText w:val="%1.%2.%3.%4.%5.%6.%7.%8."/>
      <w:lvlJc w:val="left"/>
      <w:pPr>
        <w:ind w:left="6349" w:firstLine="0"/>
      </w:pPr>
      <w:rPr>
        <w:rFonts w:hint="eastAsia"/>
      </w:rPr>
    </w:lvl>
    <w:lvl w:ilvl="8" w:tentative="0">
      <w:start w:val="1"/>
      <w:numFmt w:val="decimal"/>
      <w:lvlText w:val="%1.%2.%3.%4.%5.%6.%7.%8.%9."/>
      <w:lvlJc w:val="left"/>
      <w:pPr>
        <w:ind w:left="7256" w:firstLine="0"/>
      </w:pPr>
      <w:rPr>
        <w:rFonts w:hint="eastAsia"/>
      </w:rPr>
    </w:lvl>
  </w:abstractNum>
  <w:abstractNum w:abstractNumId="9">
    <w:nsid w:val="40A41628"/>
    <w:multiLevelType w:val="multilevel"/>
    <w:tmpl w:val="40A4162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6297788"/>
    <w:multiLevelType w:val="singleLevel"/>
    <w:tmpl w:val="56297788"/>
    <w:lvl w:ilvl="0" w:tentative="0">
      <w:start w:val="2"/>
      <w:numFmt w:val="chineseCounting"/>
      <w:suff w:val="nothing"/>
      <w:lvlText w:val="（%1）"/>
      <w:lvlJc w:val="left"/>
      <w:rPr>
        <w:rFonts w:hint="eastAsia"/>
      </w:rPr>
    </w:lvl>
  </w:abstractNum>
  <w:abstractNum w:abstractNumId="11">
    <w:nsid w:val="5E7B63B6"/>
    <w:multiLevelType w:val="singleLevel"/>
    <w:tmpl w:val="5E7B63B6"/>
    <w:lvl w:ilvl="0" w:tentative="0">
      <w:start w:val="1"/>
      <w:numFmt w:val="chineseCounting"/>
      <w:suff w:val="nothing"/>
      <w:lvlText w:val="%1、"/>
      <w:lvlJc w:val="left"/>
      <w:pPr>
        <w:tabs>
          <w:tab w:val="left" w:pos="0"/>
        </w:tabs>
        <w:ind w:left="0" w:firstLine="397"/>
      </w:pPr>
      <w:rPr>
        <w:rFonts w:hint="eastAsia" w:ascii="宋体" w:hAnsi="宋体" w:cs="宋体"/>
        <w:b/>
        <w:sz w:val="32"/>
        <w:szCs w:val="32"/>
      </w:rPr>
    </w:lvl>
  </w:abstractNum>
  <w:abstractNum w:abstractNumId="12">
    <w:nsid w:val="63B90968"/>
    <w:multiLevelType w:val="multilevel"/>
    <w:tmpl w:val="63B9096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98583F6"/>
    <w:multiLevelType w:val="singleLevel"/>
    <w:tmpl w:val="798583F6"/>
    <w:lvl w:ilvl="0" w:tentative="0">
      <w:start w:val="1"/>
      <w:numFmt w:val="decimal"/>
      <w:suff w:val="nothing"/>
      <w:lvlText w:val="%1、"/>
      <w:lvlJc w:val="left"/>
    </w:lvl>
  </w:abstractNum>
  <w:num w:numId="1">
    <w:abstractNumId w:val="12"/>
  </w:num>
  <w:num w:numId="2">
    <w:abstractNumId w:val="9"/>
  </w:num>
  <w:num w:numId="3">
    <w:abstractNumId w:val="6"/>
  </w:num>
  <w:num w:numId="4">
    <w:abstractNumId w:val="13"/>
  </w:num>
  <w:num w:numId="5">
    <w:abstractNumId w:val="2"/>
  </w:num>
  <w:num w:numId="6">
    <w:abstractNumId w:val="11"/>
  </w:num>
  <w:num w:numId="7">
    <w:abstractNumId w:val="0"/>
  </w:num>
  <w:num w:numId="8">
    <w:abstractNumId w:val="5"/>
  </w:num>
  <w:num w:numId="9">
    <w:abstractNumId w:val="10"/>
  </w:num>
  <w:num w:numId="10">
    <w:abstractNumId w:val="1"/>
  </w:num>
  <w:num w:numId="11">
    <w:abstractNumId w:val="7"/>
  </w:num>
  <w:num w:numId="12">
    <w:abstractNumId w:val="8"/>
  </w:num>
  <w:num w:numId="13">
    <w:abstractNumId w:val="8"/>
    <w:lvlOverride w:ilvl="0">
      <w:lvl w:ilvl="0" w:tentative="1">
        <w:start w:val="1"/>
        <w:numFmt w:val="decimal"/>
        <w:lvlText w:val="%1."/>
        <w:lvlJc w:val="left"/>
        <w:pPr>
          <w:tabs>
            <w:tab w:val="left" w:pos="907"/>
          </w:tabs>
          <w:ind w:left="907" w:hanging="907"/>
        </w:pPr>
        <w:rPr>
          <w:rFonts w:hint="eastAsia"/>
        </w:rPr>
      </w:lvl>
    </w:lvlOverride>
    <w:lvlOverride w:ilvl="1">
      <w:lvl w:ilvl="1" w:tentative="1">
        <w:start w:val="1"/>
        <w:numFmt w:val="decimal"/>
        <w:lvlText w:val="%1.%2."/>
        <w:lvlJc w:val="left"/>
        <w:pPr>
          <w:tabs>
            <w:tab w:val="left" w:pos="907"/>
          </w:tabs>
          <w:ind w:left="907" w:hanging="907"/>
        </w:pPr>
        <w:rPr>
          <w:rFonts w:hint="default" w:ascii="Times New Roman" w:hAnsi="Times New Roman" w:cs="Times New Roman"/>
          <w:b w:val="0"/>
        </w:rPr>
      </w:lvl>
    </w:lvlOverride>
    <w:lvlOverride w:ilvl="2">
      <w:lvl w:ilvl="2" w:tentative="1">
        <w:start w:val="1"/>
        <w:numFmt w:val="decimal"/>
        <w:lvlText w:val="%1.%2.%3."/>
        <w:lvlJc w:val="left"/>
        <w:pPr>
          <w:ind w:left="1814" w:firstLine="0"/>
        </w:pPr>
        <w:rPr>
          <w:rFonts w:hint="eastAsia"/>
        </w:rPr>
      </w:lvl>
    </w:lvlOverride>
    <w:lvlOverride w:ilvl="3">
      <w:lvl w:ilvl="3" w:tentative="1">
        <w:start w:val="1"/>
        <w:numFmt w:val="decimal"/>
        <w:lvlText w:val="%1.%2.%3.%4."/>
        <w:lvlJc w:val="left"/>
        <w:pPr>
          <w:ind w:left="2721" w:firstLine="0"/>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 w:numId="14">
    <w:abstractNumId w:val="8"/>
    <w:lvlOverride w:ilvl="0">
      <w:lvl w:ilvl="0" w:tentative="1">
        <w:start w:val="1"/>
        <w:numFmt w:val="decimal"/>
        <w:lvlText w:val="%1."/>
        <w:lvlJc w:val="left"/>
        <w:pPr>
          <w:tabs>
            <w:tab w:val="left" w:pos="907"/>
          </w:tabs>
          <w:ind w:left="907" w:hanging="907"/>
        </w:pPr>
        <w:rPr>
          <w:rFonts w:hint="eastAsia"/>
        </w:rPr>
      </w:lvl>
    </w:lvlOverride>
    <w:lvlOverride w:ilvl="1">
      <w:lvl w:ilvl="1" w:tentative="1">
        <w:start w:val="1"/>
        <w:numFmt w:val="decimal"/>
        <w:lvlText w:val="%1.%2."/>
        <w:lvlJc w:val="left"/>
        <w:pPr>
          <w:tabs>
            <w:tab w:val="left" w:pos="907"/>
          </w:tabs>
          <w:ind w:left="907" w:hanging="907"/>
        </w:pPr>
        <w:rPr>
          <w:rFonts w:hint="eastAsia"/>
        </w:rPr>
      </w:lvl>
    </w:lvlOverride>
    <w:lvlOverride w:ilvl="2">
      <w:lvl w:ilvl="2" w:tentative="1">
        <w:start w:val="1"/>
        <w:numFmt w:val="decimal"/>
        <w:lvlText w:val="%1.%2.%3."/>
        <w:lvlJc w:val="left"/>
        <w:pPr>
          <w:tabs>
            <w:tab w:val="left" w:pos="907"/>
          </w:tabs>
          <w:ind w:left="907" w:hanging="907"/>
        </w:pPr>
        <w:rPr>
          <w:rFonts w:hint="eastAsia"/>
        </w:rPr>
      </w:lvl>
    </w:lvlOverride>
    <w:lvlOverride w:ilvl="3">
      <w:lvl w:ilvl="3" w:tentative="1">
        <w:start w:val="1"/>
        <w:numFmt w:val="decimal"/>
        <w:lvlText w:val="%1.%2.%3.%4."/>
        <w:lvlJc w:val="left"/>
        <w:pPr>
          <w:ind w:left="2721" w:firstLine="0"/>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 w:numId="15">
    <w:abstractNumId w:val="8"/>
    <w:lvlOverride w:ilvl="0">
      <w:lvl w:ilvl="0" w:tentative="1">
        <w:start w:val="1"/>
        <w:numFmt w:val="decimal"/>
        <w:lvlText w:val="%1."/>
        <w:lvlJc w:val="left"/>
        <w:pPr>
          <w:tabs>
            <w:tab w:val="left" w:pos="907"/>
          </w:tabs>
          <w:ind w:left="907" w:hanging="907"/>
        </w:pPr>
        <w:rPr>
          <w:rFonts w:hint="eastAsia"/>
        </w:rPr>
      </w:lvl>
    </w:lvlOverride>
    <w:lvlOverride w:ilvl="1">
      <w:lvl w:ilvl="1" w:tentative="1">
        <w:start w:val="1"/>
        <w:numFmt w:val="decimal"/>
        <w:lvlText w:val="%1.%2."/>
        <w:lvlJc w:val="left"/>
        <w:pPr>
          <w:tabs>
            <w:tab w:val="left" w:pos="907"/>
          </w:tabs>
          <w:ind w:left="907" w:hanging="907"/>
        </w:pPr>
        <w:rPr>
          <w:rFonts w:hint="eastAsia"/>
        </w:rPr>
      </w:lvl>
    </w:lvlOverride>
    <w:lvlOverride w:ilvl="2">
      <w:lvl w:ilvl="2" w:tentative="1">
        <w:start w:val="1"/>
        <w:numFmt w:val="decimal"/>
        <w:lvlText w:val="%1.%2.%3."/>
        <w:lvlJc w:val="left"/>
        <w:pPr>
          <w:tabs>
            <w:tab w:val="left" w:pos="907"/>
          </w:tabs>
          <w:ind w:left="907" w:hanging="907"/>
        </w:pPr>
        <w:rPr>
          <w:rFonts w:hint="eastAsia"/>
        </w:rPr>
      </w:lvl>
    </w:lvlOverride>
    <w:lvlOverride w:ilvl="3">
      <w:lvl w:ilvl="3" w:tentative="1">
        <w:start w:val="1"/>
        <w:numFmt w:val="decimal"/>
        <w:lvlText w:val="%1.%2.%3.%4."/>
        <w:lvlJc w:val="left"/>
        <w:pPr>
          <w:tabs>
            <w:tab w:val="left" w:pos="907"/>
          </w:tabs>
          <w:ind w:left="907" w:hanging="907"/>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 w:numId="16">
    <w:abstractNumId w:val="4"/>
  </w:num>
  <w:num w:numId="17">
    <w:abstractNumId w:val="8"/>
    <w:lvlOverride w:ilvl="0">
      <w:lvl w:ilvl="0" w:tentative="1">
        <w:start w:val="1"/>
        <w:numFmt w:val="decimal"/>
        <w:lvlText w:val="%1."/>
        <w:lvlJc w:val="left"/>
        <w:pPr>
          <w:tabs>
            <w:tab w:val="left" w:pos="907"/>
          </w:tabs>
          <w:ind w:left="907" w:hanging="907"/>
        </w:pPr>
        <w:rPr>
          <w:rFonts w:hint="eastAsia"/>
        </w:rPr>
      </w:lvl>
    </w:lvlOverride>
    <w:lvlOverride w:ilvl="1">
      <w:lvl w:ilvl="1" w:tentative="1">
        <w:start w:val="1"/>
        <w:numFmt w:val="decimal"/>
        <w:lvlText w:val="%1.%2."/>
        <w:lvlJc w:val="left"/>
        <w:pPr>
          <w:tabs>
            <w:tab w:val="left" w:pos="907"/>
          </w:tabs>
          <w:ind w:left="907" w:hanging="907"/>
        </w:pPr>
        <w:rPr>
          <w:rFonts w:hint="eastAsia"/>
        </w:rPr>
      </w:lvl>
    </w:lvlOverride>
    <w:lvlOverride w:ilvl="2">
      <w:lvl w:ilvl="2" w:tentative="1">
        <w:start w:val="1"/>
        <w:numFmt w:val="decimal"/>
        <w:lvlText w:val="%1.%2.%3."/>
        <w:lvlJc w:val="left"/>
        <w:pPr>
          <w:tabs>
            <w:tab w:val="left" w:pos="907"/>
          </w:tabs>
          <w:ind w:left="907" w:hanging="907"/>
        </w:pPr>
        <w:rPr>
          <w:rFonts w:hint="default" w:ascii="Times New Roman" w:hAnsi="Times New Roman" w:cs="Times New Roman"/>
        </w:rPr>
      </w:lvl>
    </w:lvlOverride>
    <w:lvlOverride w:ilvl="3">
      <w:lvl w:ilvl="3" w:tentative="1">
        <w:start w:val="1"/>
        <w:numFmt w:val="decimal"/>
        <w:lvlText w:val="%1.%2.%3.%4."/>
        <w:lvlJc w:val="left"/>
        <w:pPr>
          <w:ind w:left="2721" w:firstLine="0"/>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lYzM0N2RlYzQ1MzA1N2RmYmQzNDlhZmY4ZGUwZTkifQ=="/>
    <w:docVar w:name="KSO_WPS_MARK_KEY" w:val="c188ae73-b568-4c38-9620-ecb9a6fe5ab0"/>
  </w:docVars>
  <w:rsids>
    <w:rsidRoot w:val="75C070AF"/>
    <w:rsid w:val="000423FB"/>
    <w:rsid w:val="000441F7"/>
    <w:rsid w:val="00064BFC"/>
    <w:rsid w:val="000F4682"/>
    <w:rsid w:val="001F6B70"/>
    <w:rsid w:val="00235BD0"/>
    <w:rsid w:val="002533AC"/>
    <w:rsid w:val="002A51C0"/>
    <w:rsid w:val="002A5BCC"/>
    <w:rsid w:val="002D3C83"/>
    <w:rsid w:val="002D3FF3"/>
    <w:rsid w:val="0034042E"/>
    <w:rsid w:val="00347E17"/>
    <w:rsid w:val="0044543A"/>
    <w:rsid w:val="004B1D33"/>
    <w:rsid w:val="00553C94"/>
    <w:rsid w:val="0058323F"/>
    <w:rsid w:val="00682DE6"/>
    <w:rsid w:val="006F5A2E"/>
    <w:rsid w:val="00776186"/>
    <w:rsid w:val="007D1238"/>
    <w:rsid w:val="00884EA0"/>
    <w:rsid w:val="008B00AB"/>
    <w:rsid w:val="008E2DD8"/>
    <w:rsid w:val="00921F5B"/>
    <w:rsid w:val="009466D6"/>
    <w:rsid w:val="009663CC"/>
    <w:rsid w:val="00990DA0"/>
    <w:rsid w:val="009E01EA"/>
    <w:rsid w:val="009E62DF"/>
    <w:rsid w:val="00AF598E"/>
    <w:rsid w:val="00B34795"/>
    <w:rsid w:val="00B67CDE"/>
    <w:rsid w:val="00B7558A"/>
    <w:rsid w:val="00BA3FCA"/>
    <w:rsid w:val="00CC7AB1"/>
    <w:rsid w:val="00D3113A"/>
    <w:rsid w:val="00DC7B27"/>
    <w:rsid w:val="00EE708D"/>
    <w:rsid w:val="00F03156"/>
    <w:rsid w:val="00FD4753"/>
    <w:rsid w:val="0E3C3E25"/>
    <w:rsid w:val="140C6416"/>
    <w:rsid w:val="145643F8"/>
    <w:rsid w:val="16135E87"/>
    <w:rsid w:val="1A82318C"/>
    <w:rsid w:val="22230513"/>
    <w:rsid w:val="23800546"/>
    <w:rsid w:val="23F848FF"/>
    <w:rsid w:val="25667090"/>
    <w:rsid w:val="277C56F3"/>
    <w:rsid w:val="2B88437A"/>
    <w:rsid w:val="2EF117A1"/>
    <w:rsid w:val="2EFB3B00"/>
    <w:rsid w:val="2F9A17F8"/>
    <w:rsid w:val="3F8F6C07"/>
    <w:rsid w:val="51154BBE"/>
    <w:rsid w:val="55314FB7"/>
    <w:rsid w:val="5573453A"/>
    <w:rsid w:val="55CD539B"/>
    <w:rsid w:val="57D83E10"/>
    <w:rsid w:val="5AF320BF"/>
    <w:rsid w:val="5F0668A6"/>
    <w:rsid w:val="64801AB7"/>
    <w:rsid w:val="6C4806F8"/>
    <w:rsid w:val="6F875AF5"/>
    <w:rsid w:val="746A1EF9"/>
    <w:rsid w:val="75C07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67"/>
    <w:qFormat/>
    <w:uiPriority w:val="0"/>
    <w:pPr>
      <w:spacing w:before="340" w:after="330" w:line="360" w:lineRule="auto"/>
      <w:jc w:val="center"/>
      <w:outlineLvl w:val="0"/>
    </w:pPr>
    <w:rPr>
      <w:rFonts w:ascii="Times New Roman" w:hAnsi="Times New Roman" w:eastAsia="宋体"/>
      <w:bCs/>
      <w:kern w:val="44"/>
      <w:sz w:val="36"/>
      <w:szCs w:val="36"/>
    </w:rPr>
  </w:style>
  <w:style w:type="paragraph" w:styleId="5">
    <w:name w:val="heading 2"/>
    <w:basedOn w:val="1"/>
    <w:next w:val="1"/>
    <w:link w:val="68"/>
    <w:unhideWhenUsed/>
    <w:qFormat/>
    <w:uiPriority w:val="0"/>
    <w:pPr>
      <w:adjustRightInd w:val="0"/>
      <w:jc w:val="center"/>
      <w:textAlignment w:val="baseline"/>
      <w:outlineLvl w:val="1"/>
    </w:pPr>
    <w:rPr>
      <w:rFonts w:eastAsia="宋体"/>
      <w:b/>
      <w:kern w:val="0"/>
      <w:sz w:val="24"/>
      <w:szCs w:val="20"/>
    </w:rPr>
  </w:style>
  <w:style w:type="paragraph" w:styleId="6">
    <w:name w:val="heading 3"/>
    <w:basedOn w:val="1"/>
    <w:next w:val="1"/>
    <w:link w:val="58"/>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61"/>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8">
    <w:name w:val="heading 5"/>
    <w:basedOn w:val="1"/>
    <w:next w:val="9"/>
    <w:link w:val="62"/>
    <w:qFormat/>
    <w:uiPriority w:val="0"/>
    <w:pPr>
      <w:keepNext/>
      <w:keepLines/>
      <w:spacing w:before="280" w:after="290" w:line="376" w:lineRule="auto"/>
      <w:outlineLvl w:val="4"/>
    </w:pPr>
    <w:rPr>
      <w:rFonts w:ascii="Times New Roman" w:hAnsi="Times New Roman" w:eastAsia="宋体" w:cs="Times New Roman"/>
      <w:b/>
      <w:kern w:val="0"/>
      <w:sz w:val="28"/>
      <w:szCs w:val="20"/>
    </w:rPr>
  </w:style>
  <w:style w:type="paragraph" w:styleId="11">
    <w:name w:val="heading 6"/>
    <w:basedOn w:val="1"/>
    <w:next w:val="9"/>
    <w:link w:val="63"/>
    <w:qFormat/>
    <w:uiPriority w:val="0"/>
    <w:pPr>
      <w:keepNext/>
      <w:keepLines/>
      <w:spacing w:before="240" w:after="64" w:line="320" w:lineRule="auto"/>
      <w:outlineLvl w:val="5"/>
    </w:pPr>
    <w:rPr>
      <w:rFonts w:ascii="Arial" w:hAnsi="Arial" w:eastAsia="黑体" w:cs="Times New Roman"/>
      <w:b/>
      <w:kern w:val="0"/>
      <w:sz w:val="24"/>
      <w:szCs w:val="20"/>
    </w:rPr>
  </w:style>
  <w:style w:type="paragraph" w:styleId="12">
    <w:name w:val="heading 7"/>
    <w:basedOn w:val="1"/>
    <w:next w:val="9"/>
    <w:link w:val="64"/>
    <w:qFormat/>
    <w:uiPriority w:val="0"/>
    <w:pPr>
      <w:keepNext/>
      <w:keepLines/>
      <w:spacing w:before="240" w:after="64" w:line="320" w:lineRule="auto"/>
      <w:outlineLvl w:val="6"/>
    </w:pPr>
    <w:rPr>
      <w:rFonts w:ascii="Times New Roman" w:hAnsi="Times New Roman" w:eastAsia="宋体" w:cs="Times New Roman"/>
      <w:b/>
      <w:kern w:val="0"/>
      <w:sz w:val="24"/>
      <w:szCs w:val="20"/>
    </w:rPr>
  </w:style>
  <w:style w:type="paragraph" w:styleId="13">
    <w:name w:val="heading 8"/>
    <w:basedOn w:val="1"/>
    <w:next w:val="9"/>
    <w:link w:val="65"/>
    <w:qFormat/>
    <w:uiPriority w:val="0"/>
    <w:pPr>
      <w:keepNext/>
      <w:keepLines/>
      <w:spacing w:before="240" w:after="64" w:line="320" w:lineRule="auto"/>
      <w:outlineLvl w:val="7"/>
    </w:pPr>
    <w:rPr>
      <w:rFonts w:ascii="Arial" w:hAnsi="Arial" w:eastAsia="黑体" w:cs="Times New Roman"/>
      <w:kern w:val="0"/>
      <w:sz w:val="24"/>
      <w:szCs w:val="20"/>
    </w:rPr>
  </w:style>
  <w:style w:type="paragraph" w:styleId="14">
    <w:name w:val="heading 9"/>
    <w:basedOn w:val="1"/>
    <w:next w:val="9"/>
    <w:link w:val="66"/>
    <w:qFormat/>
    <w:uiPriority w:val="0"/>
    <w:pPr>
      <w:keepNext/>
      <w:keepLines/>
      <w:spacing w:before="240" w:after="64" w:line="320" w:lineRule="auto"/>
      <w:outlineLvl w:val="8"/>
    </w:pPr>
    <w:rPr>
      <w:rFonts w:ascii="Arial" w:hAnsi="Arial" w:eastAsia="黑体" w:cs="Times New Roman"/>
      <w:kern w:val="0"/>
      <w:sz w:val="20"/>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59"/>
    <w:qFormat/>
    <w:uiPriority w:val="0"/>
    <w:rPr>
      <w:rFonts w:hAnsi="Courier New" w:eastAsia="宋体"/>
      <w:kern w:val="0"/>
      <w:sz w:val="20"/>
      <w:szCs w:val="20"/>
    </w:rPr>
  </w:style>
  <w:style w:type="paragraph" w:styleId="3">
    <w:name w:val="index 8"/>
    <w:basedOn w:val="1"/>
    <w:next w:val="1"/>
    <w:qFormat/>
    <w:uiPriority w:val="99"/>
    <w:pPr>
      <w:ind w:left="1400" w:leftChars="1400"/>
    </w:pPr>
  </w:style>
  <w:style w:type="paragraph" w:styleId="9">
    <w:name w:val="Normal Indent"/>
    <w:basedOn w:val="1"/>
    <w:next w:val="10"/>
    <w:link w:val="70"/>
    <w:qFormat/>
    <w:uiPriority w:val="0"/>
    <w:pPr>
      <w:ind w:firstLine="420"/>
    </w:pPr>
    <w:rPr>
      <w:rFonts w:ascii="Times New Roman" w:hAnsi="Times New Roman" w:eastAsia="宋体"/>
      <w:kern w:val="0"/>
      <w:sz w:val="20"/>
      <w:szCs w:val="20"/>
    </w:rPr>
  </w:style>
  <w:style w:type="paragraph" w:styleId="10">
    <w:name w:val="Body Text"/>
    <w:basedOn w:val="1"/>
    <w:next w:val="1"/>
    <w:link w:val="71"/>
    <w:qFormat/>
    <w:uiPriority w:val="0"/>
    <w:pPr>
      <w:spacing w:line="360" w:lineRule="auto"/>
    </w:pPr>
    <w:rPr>
      <w:rFonts w:ascii="Times New Roman" w:hAnsi="Times New Roman" w:eastAsia="宋体"/>
      <w:b/>
      <w:bCs/>
      <w:kern w:val="0"/>
      <w:sz w:val="24"/>
      <w:szCs w:val="24"/>
    </w:rPr>
  </w:style>
  <w:style w:type="paragraph" w:styleId="15">
    <w:name w:val="toc 7"/>
    <w:basedOn w:val="1"/>
    <w:next w:val="1"/>
    <w:qFormat/>
    <w:uiPriority w:val="0"/>
    <w:pPr>
      <w:ind w:left="1260"/>
      <w:jc w:val="left"/>
    </w:pPr>
    <w:rPr>
      <w:rFonts w:ascii="Times New Roman" w:hAnsi="Times New Roman" w:eastAsia="宋体" w:cs="Times New Roman"/>
      <w:szCs w:val="21"/>
    </w:rPr>
  </w:style>
  <w:style w:type="paragraph" w:styleId="16">
    <w:name w:val="List Bullet"/>
    <w:basedOn w:val="1"/>
    <w:qFormat/>
    <w:uiPriority w:val="0"/>
    <w:pPr>
      <w:tabs>
        <w:tab w:val="left" w:pos="360"/>
      </w:tabs>
      <w:ind w:left="360" w:hanging="360" w:hangingChars="200"/>
    </w:pPr>
    <w:rPr>
      <w:rFonts w:ascii="Times New Roman" w:hAnsi="Times New Roman" w:eastAsia="宋体" w:cs="Times New Roman"/>
      <w:szCs w:val="20"/>
    </w:rPr>
  </w:style>
  <w:style w:type="paragraph" w:styleId="17">
    <w:name w:val="Document Map"/>
    <w:basedOn w:val="1"/>
    <w:link w:val="72"/>
    <w:qFormat/>
    <w:uiPriority w:val="0"/>
    <w:pPr>
      <w:shd w:val="clear" w:color="auto" w:fill="000080"/>
    </w:pPr>
    <w:rPr>
      <w:rFonts w:ascii="Times New Roman" w:hAnsi="Times New Roman" w:eastAsia="宋体" w:cs="Times New Roman"/>
      <w:kern w:val="0"/>
      <w:sz w:val="20"/>
      <w:szCs w:val="24"/>
    </w:rPr>
  </w:style>
  <w:style w:type="paragraph" w:styleId="18">
    <w:name w:val="annotation text"/>
    <w:basedOn w:val="1"/>
    <w:link w:val="86"/>
    <w:qFormat/>
    <w:uiPriority w:val="0"/>
    <w:pPr>
      <w:autoSpaceDE w:val="0"/>
      <w:autoSpaceDN w:val="0"/>
      <w:adjustRightInd w:val="0"/>
      <w:jc w:val="left"/>
      <w:textAlignment w:val="baseline"/>
    </w:pPr>
    <w:rPr>
      <w:rFonts w:hAnsi="Times New Roman" w:eastAsia="宋体"/>
      <w:kern w:val="0"/>
      <w:sz w:val="34"/>
      <w:szCs w:val="20"/>
    </w:rPr>
  </w:style>
  <w:style w:type="paragraph" w:styleId="19">
    <w:name w:val="Body Text 3"/>
    <w:basedOn w:val="1"/>
    <w:link w:val="74"/>
    <w:qFormat/>
    <w:uiPriority w:val="0"/>
    <w:pPr>
      <w:spacing w:after="120"/>
    </w:pPr>
    <w:rPr>
      <w:rFonts w:ascii="Times New Roman" w:hAnsi="Times New Roman" w:eastAsia="宋体" w:cs="Times New Roman"/>
      <w:kern w:val="0"/>
      <w:sz w:val="16"/>
      <w:szCs w:val="16"/>
    </w:rPr>
  </w:style>
  <w:style w:type="paragraph" w:styleId="20">
    <w:name w:val="Body Text Indent"/>
    <w:basedOn w:val="1"/>
    <w:next w:val="21"/>
    <w:link w:val="75"/>
    <w:qFormat/>
    <w:uiPriority w:val="0"/>
    <w:pPr>
      <w:spacing w:line="360" w:lineRule="auto"/>
      <w:ind w:firstLine="420" w:firstLineChars="200"/>
    </w:pPr>
    <w:rPr>
      <w:rFonts w:ascii="Times New Roman" w:hAnsi="Times New Roman" w:eastAsia="宋体"/>
      <w:kern w:val="0"/>
      <w:sz w:val="20"/>
      <w:szCs w:val="24"/>
    </w:rPr>
  </w:style>
  <w:style w:type="paragraph" w:styleId="21">
    <w:name w:val="envelope return"/>
    <w:basedOn w:val="1"/>
    <w:qFormat/>
    <w:uiPriority w:val="99"/>
    <w:rPr>
      <w:rFonts w:ascii="Arial" w:hAnsi="Arial"/>
    </w:rPr>
  </w:style>
  <w:style w:type="paragraph" w:styleId="22">
    <w:name w:val="toc 5"/>
    <w:basedOn w:val="1"/>
    <w:next w:val="1"/>
    <w:qFormat/>
    <w:uiPriority w:val="0"/>
    <w:pPr>
      <w:ind w:left="840"/>
      <w:jc w:val="left"/>
    </w:pPr>
    <w:rPr>
      <w:rFonts w:ascii="Times New Roman" w:hAnsi="Times New Roman" w:eastAsia="宋体" w:cs="Times New Roman"/>
      <w:szCs w:val="21"/>
    </w:rPr>
  </w:style>
  <w:style w:type="paragraph" w:styleId="23">
    <w:name w:val="toc 3"/>
    <w:basedOn w:val="1"/>
    <w:next w:val="1"/>
    <w:qFormat/>
    <w:uiPriority w:val="0"/>
    <w:pPr>
      <w:ind w:left="420"/>
      <w:jc w:val="left"/>
    </w:pPr>
    <w:rPr>
      <w:rFonts w:ascii="Times New Roman" w:hAnsi="Times New Roman" w:eastAsia="宋体" w:cs="Times New Roman"/>
      <w:i/>
      <w:iCs/>
      <w:szCs w:val="24"/>
    </w:rPr>
  </w:style>
  <w:style w:type="paragraph" w:styleId="24">
    <w:name w:val="toc 8"/>
    <w:basedOn w:val="1"/>
    <w:next w:val="1"/>
    <w:qFormat/>
    <w:uiPriority w:val="0"/>
    <w:pPr>
      <w:ind w:left="1470"/>
      <w:jc w:val="left"/>
    </w:pPr>
    <w:rPr>
      <w:rFonts w:ascii="Times New Roman" w:hAnsi="Times New Roman" w:eastAsia="宋体" w:cs="Times New Roman"/>
      <w:szCs w:val="21"/>
    </w:rPr>
  </w:style>
  <w:style w:type="paragraph" w:styleId="25">
    <w:name w:val="Date"/>
    <w:basedOn w:val="1"/>
    <w:next w:val="1"/>
    <w:link w:val="76"/>
    <w:unhideWhenUsed/>
    <w:qFormat/>
    <w:uiPriority w:val="0"/>
    <w:pPr>
      <w:ind w:left="100" w:leftChars="2500"/>
    </w:pPr>
    <w:rPr>
      <w:rFonts w:ascii="Calibri" w:hAnsi="Calibri" w:eastAsia="宋体" w:cs="Times New Roman"/>
      <w:kern w:val="0"/>
      <w:sz w:val="20"/>
      <w:szCs w:val="20"/>
    </w:rPr>
  </w:style>
  <w:style w:type="paragraph" w:styleId="26">
    <w:name w:val="Body Text Indent 2"/>
    <w:basedOn w:val="1"/>
    <w:link w:val="77"/>
    <w:qFormat/>
    <w:uiPriority w:val="0"/>
    <w:pPr>
      <w:spacing w:beforeLines="50" w:afterLines="50" w:line="120" w:lineRule="auto"/>
      <w:ind w:firstLine="840" w:firstLineChars="400"/>
      <w:jc w:val="left"/>
    </w:pPr>
    <w:rPr>
      <w:rFonts w:ascii="Times New Roman" w:hAnsi="Times New Roman" w:eastAsia="宋体" w:cs="Times New Roman"/>
      <w:kern w:val="0"/>
      <w:sz w:val="20"/>
      <w:szCs w:val="24"/>
    </w:rPr>
  </w:style>
  <w:style w:type="paragraph" w:styleId="27">
    <w:name w:val="Balloon Text"/>
    <w:basedOn w:val="1"/>
    <w:link w:val="57"/>
    <w:qFormat/>
    <w:uiPriority w:val="99"/>
    <w:rPr>
      <w:sz w:val="18"/>
      <w:szCs w:val="18"/>
    </w:rPr>
  </w:style>
  <w:style w:type="paragraph" w:styleId="28">
    <w:name w:val="footer"/>
    <w:basedOn w:val="1"/>
    <w:link w:val="78"/>
    <w:qFormat/>
    <w:uiPriority w:val="99"/>
    <w:pPr>
      <w:tabs>
        <w:tab w:val="center" w:pos="4153"/>
        <w:tab w:val="right" w:pos="8306"/>
      </w:tabs>
      <w:snapToGrid w:val="0"/>
      <w:jc w:val="left"/>
    </w:pPr>
    <w:rPr>
      <w:rFonts w:ascii="Calibri" w:hAnsi="Calibri" w:eastAsia="宋体"/>
      <w:kern w:val="0"/>
      <w:sz w:val="18"/>
      <w:szCs w:val="18"/>
    </w:rPr>
  </w:style>
  <w:style w:type="paragraph" w:styleId="29">
    <w:name w:val="header"/>
    <w:basedOn w:val="1"/>
    <w:link w:val="79"/>
    <w:qFormat/>
    <w:uiPriority w:val="0"/>
    <w:pPr>
      <w:pBdr>
        <w:bottom w:val="single" w:color="auto" w:sz="6" w:space="1"/>
      </w:pBdr>
      <w:tabs>
        <w:tab w:val="center" w:pos="4153"/>
        <w:tab w:val="right" w:pos="8306"/>
      </w:tabs>
      <w:snapToGrid w:val="0"/>
      <w:jc w:val="center"/>
    </w:pPr>
    <w:rPr>
      <w:rFonts w:ascii="Calibri" w:hAnsi="Calibri" w:eastAsia="宋体"/>
      <w:kern w:val="0"/>
      <w:sz w:val="18"/>
      <w:szCs w:val="18"/>
    </w:rPr>
  </w:style>
  <w:style w:type="paragraph" w:styleId="30">
    <w:name w:val="toc 1"/>
    <w:basedOn w:val="1"/>
    <w:next w:val="1"/>
    <w:qFormat/>
    <w:uiPriority w:val="0"/>
    <w:pPr>
      <w:spacing w:before="120" w:after="120"/>
      <w:jc w:val="left"/>
    </w:pPr>
    <w:rPr>
      <w:rFonts w:ascii="Times New Roman" w:hAnsi="Times New Roman" w:eastAsia="宋体" w:cs="Times New Roman"/>
      <w:b/>
      <w:bCs/>
      <w:caps/>
      <w:szCs w:val="24"/>
    </w:rPr>
  </w:style>
  <w:style w:type="paragraph" w:styleId="31">
    <w:name w:val="toc 4"/>
    <w:basedOn w:val="1"/>
    <w:next w:val="1"/>
    <w:qFormat/>
    <w:uiPriority w:val="0"/>
    <w:pPr>
      <w:ind w:left="630"/>
      <w:jc w:val="left"/>
    </w:pPr>
    <w:rPr>
      <w:rFonts w:ascii="Times New Roman" w:hAnsi="Times New Roman" w:eastAsia="宋体" w:cs="Times New Roman"/>
      <w:szCs w:val="21"/>
    </w:rPr>
  </w:style>
  <w:style w:type="paragraph" w:styleId="32">
    <w:name w:val="Subtitle"/>
    <w:basedOn w:val="1"/>
    <w:next w:val="1"/>
    <w:link w:val="80"/>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33">
    <w:name w:val="toc 6"/>
    <w:basedOn w:val="1"/>
    <w:next w:val="1"/>
    <w:qFormat/>
    <w:uiPriority w:val="0"/>
    <w:pPr>
      <w:ind w:left="1050"/>
      <w:jc w:val="left"/>
    </w:pPr>
    <w:rPr>
      <w:rFonts w:ascii="Times New Roman" w:hAnsi="Times New Roman" w:eastAsia="宋体" w:cs="Times New Roman"/>
      <w:szCs w:val="21"/>
    </w:rPr>
  </w:style>
  <w:style w:type="paragraph" w:styleId="34">
    <w:name w:val="Body Text Indent 3"/>
    <w:basedOn w:val="1"/>
    <w:link w:val="81"/>
    <w:qFormat/>
    <w:uiPriority w:val="0"/>
    <w:pPr>
      <w:spacing w:line="360" w:lineRule="auto"/>
      <w:ind w:firstLine="482" w:firstLineChars="200"/>
    </w:pPr>
    <w:rPr>
      <w:rFonts w:ascii="Times New Roman" w:hAnsi="Times New Roman" w:eastAsia="宋体" w:cs="Times New Roman"/>
      <w:b/>
      <w:bCs/>
      <w:kern w:val="0"/>
      <w:sz w:val="24"/>
      <w:szCs w:val="24"/>
    </w:rPr>
  </w:style>
  <w:style w:type="paragraph" w:styleId="35">
    <w:name w:val="toc 2"/>
    <w:basedOn w:val="1"/>
    <w:next w:val="1"/>
    <w:qFormat/>
    <w:uiPriority w:val="0"/>
    <w:pPr>
      <w:tabs>
        <w:tab w:val="right" w:leader="dot" w:pos="8296"/>
      </w:tabs>
      <w:ind w:left="210"/>
      <w:jc w:val="left"/>
    </w:pPr>
    <w:rPr>
      <w:rFonts w:ascii="Times New Roman" w:hAnsi="Times New Roman" w:eastAsia="宋体" w:cs="Times New Roman"/>
      <w:smallCaps/>
      <w:szCs w:val="24"/>
    </w:rPr>
  </w:style>
  <w:style w:type="paragraph" w:styleId="36">
    <w:name w:val="toc 9"/>
    <w:basedOn w:val="1"/>
    <w:next w:val="1"/>
    <w:qFormat/>
    <w:uiPriority w:val="0"/>
    <w:pPr>
      <w:ind w:left="1680"/>
      <w:jc w:val="left"/>
    </w:pPr>
    <w:rPr>
      <w:rFonts w:ascii="Times New Roman" w:hAnsi="Times New Roman" w:eastAsia="宋体" w:cs="Times New Roman"/>
      <w:szCs w:val="21"/>
    </w:rPr>
  </w:style>
  <w:style w:type="paragraph" w:styleId="37">
    <w:name w:val="Body Text 2"/>
    <w:basedOn w:val="1"/>
    <w:next w:val="10"/>
    <w:link w:val="82"/>
    <w:qFormat/>
    <w:uiPriority w:val="0"/>
    <w:pPr>
      <w:spacing w:line="360" w:lineRule="auto"/>
    </w:pPr>
    <w:rPr>
      <w:rFonts w:ascii="Times New Roman" w:hAnsi="Times New Roman" w:eastAsia="宋体" w:cs="Times New Roman"/>
      <w:kern w:val="0"/>
      <w:sz w:val="24"/>
      <w:szCs w:val="24"/>
    </w:rPr>
  </w:style>
  <w:style w:type="paragraph" w:styleId="38">
    <w:name w:val="Message Header"/>
    <w:basedOn w:val="1"/>
    <w:link w:val="8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imes New Roman" w:hAnsi="Times New Roman" w:eastAsia="宋体" w:cs="Times New Roman"/>
      <w:sz w:val="24"/>
    </w:rPr>
  </w:style>
  <w:style w:type="paragraph" w:styleId="39">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kern w:val="0"/>
      <w:sz w:val="20"/>
      <w:szCs w:val="20"/>
    </w:rPr>
  </w:style>
  <w:style w:type="paragraph" w:styleId="40">
    <w:name w:val="Normal (Web)"/>
    <w:basedOn w:val="1"/>
    <w:qFormat/>
    <w:uiPriority w:val="99"/>
    <w:rPr>
      <w:rFonts w:ascii="Times New Roman" w:hAnsi="Times New Roman" w:eastAsia="宋体" w:cs="Times New Roman"/>
      <w:sz w:val="24"/>
      <w:szCs w:val="24"/>
    </w:rPr>
  </w:style>
  <w:style w:type="paragraph" w:styleId="41">
    <w:name w:val="Title"/>
    <w:basedOn w:val="1"/>
    <w:next w:val="1"/>
    <w:link w:val="85"/>
    <w:qFormat/>
    <w:uiPriority w:val="0"/>
    <w:pPr>
      <w:spacing w:before="240" w:after="60"/>
      <w:jc w:val="center"/>
      <w:outlineLvl w:val="0"/>
    </w:pPr>
    <w:rPr>
      <w:rFonts w:ascii="Arial" w:hAnsi="Arial" w:eastAsia="隶书" w:cs="Times New Roman"/>
      <w:b/>
      <w:bCs/>
      <w:kern w:val="0"/>
      <w:sz w:val="32"/>
      <w:szCs w:val="32"/>
    </w:rPr>
  </w:style>
  <w:style w:type="paragraph" w:styleId="42">
    <w:name w:val="annotation subject"/>
    <w:basedOn w:val="18"/>
    <w:next w:val="18"/>
    <w:link w:val="87"/>
    <w:qFormat/>
    <w:uiPriority w:val="99"/>
    <w:pPr>
      <w:autoSpaceDE/>
      <w:autoSpaceDN/>
      <w:adjustRightInd/>
      <w:textAlignment w:val="auto"/>
    </w:pPr>
    <w:rPr>
      <w:rFonts w:ascii="Times New Roman" w:cs="Times New Roman"/>
      <w:b/>
      <w:bCs/>
      <w:szCs w:val="24"/>
    </w:rPr>
  </w:style>
  <w:style w:type="paragraph" w:styleId="43">
    <w:name w:val="Body Text First Indent 2"/>
    <w:basedOn w:val="20"/>
    <w:next w:val="1"/>
    <w:link w:val="88"/>
    <w:qFormat/>
    <w:uiPriority w:val="0"/>
    <w:pPr>
      <w:spacing w:after="120" w:line="240" w:lineRule="auto"/>
      <w:ind w:left="420" w:leftChars="200"/>
    </w:pPr>
    <w:rPr>
      <w:rFonts w:ascii="Calibri" w:hAnsi="Calibri"/>
      <w:kern w:val="2"/>
      <w:sz w:val="21"/>
    </w:rPr>
  </w:style>
  <w:style w:type="table" w:styleId="45">
    <w:name w:val="Table Grid"/>
    <w:basedOn w:val="4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rFonts w:hint="eastAsia" w:ascii="宋体" w:hAnsi="宋体" w:eastAsia="宋体" w:cs="宋体"/>
      <w:color w:val="0031C1"/>
      <w:sz w:val="18"/>
      <w:szCs w:val="18"/>
      <w:u w:val="none"/>
    </w:rPr>
  </w:style>
  <w:style w:type="character" w:styleId="50">
    <w:name w:val="Emphasis"/>
    <w:qFormat/>
    <w:uiPriority w:val="20"/>
  </w:style>
  <w:style w:type="character" w:styleId="51">
    <w:name w:val="Hyperlink"/>
    <w:qFormat/>
    <w:uiPriority w:val="0"/>
    <w:rPr>
      <w:rFonts w:hint="eastAsia" w:ascii="宋体" w:hAnsi="宋体" w:eastAsia="宋体" w:cs="宋体"/>
      <w:color w:val="0031C1"/>
      <w:sz w:val="18"/>
      <w:szCs w:val="18"/>
      <w:u w:val="none"/>
    </w:rPr>
  </w:style>
  <w:style w:type="character" w:styleId="52">
    <w:name w:val="annotation reference"/>
    <w:unhideWhenUsed/>
    <w:qFormat/>
    <w:uiPriority w:val="99"/>
    <w:rPr>
      <w:sz w:val="21"/>
      <w:szCs w:val="21"/>
    </w:rPr>
  </w:style>
  <w:style w:type="character" w:customStyle="1" w:styleId="53">
    <w:name w:val="font81"/>
    <w:qFormat/>
    <w:uiPriority w:val="0"/>
    <w:rPr>
      <w:rFonts w:ascii="宋体" w:hAnsi="宋体" w:eastAsia="宋体" w:cs="宋体"/>
      <w:color w:val="000000"/>
      <w:sz w:val="20"/>
      <w:szCs w:val="20"/>
      <w:u w:val="none"/>
    </w:rPr>
  </w:style>
  <w:style w:type="paragraph" w:customStyle="1" w:styleId="54">
    <w:name w:val="正文首行缩进 21"/>
    <w:basedOn w:val="20"/>
    <w:qFormat/>
    <w:uiPriority w:val="0"/>
    <w:pPr>
      <w:tabs>
        <w:tab w:val="left" w:pos="0"/>
        <w:tab w:val="left" w:pos="993"/>
        <w:tab w:val="left" w:pos="1134"/>
      </w:tabs>
    </w:pPr>
    <w:rPr>
      <w:rFonts w:hAnsi="宋体"/>
      <w:color w:val="FF0000"/>
    </w:rPr>
  </w:style>
  <w:style w:type="character" w:customStyle="1" w:styleId="55">
    <w:name w:val="font71"/>
    <w:basedOn w:val="46"/>
    <w:qFormat/>
    <w:uiPriority w:val="0"/>
    <w:rPr>
      <w:rFonts w:hint="eastAsia" w:ascii="宋体" w:hAnsi="宋体" w:eastAsia="宋体" w:cs="宋体"/>
      <w:b/>
      <w:bCs/>
      <w:color w:val="000000"/>
      <w:sz w:val="20"/>
      <w:szCs w:val="20"/>
      <w:u w:val="none"/>
    </w:rPr>
  </w:style>
  <w:style w:type="paragraph" w:customStyle="1" w:styleId="56">
    <w:name w:val="列出段落1"/>
    <w:basedOn w:val="1"/>
    <w:qFormat/>
    <w:uiPriority w:val="34"/>
    <w:pPr>
      <w:ind w:firstLine="420" w:firstLineChars="200"/>
    </w:pPr>
    <w:rPr>
      <w:rFonts w:ascii="Times New Roman" w:hAnsi="Times New Roman"/>
      <w:szCs w:val="24"/>
    </w:rPr>
  </w:style>
  <w:style w:type="character" w:customStyle="1" w:styleId="57">
    <w:name w:val="批注框文本 Char"/>
    <w:basedOn w:val="46"/>
    <w:link w:val="27"/>
    <w:qFormat/>
    <w:uiPriority w:val="99"/>
    <w:rPr>
      <w:kern w:val="2"/>
      <w:sz w:val="18"/>
      <w:szCs w:val="18"/>
    </w:rPr>
  </w:style>
  <w:style w:type="character" w:customStyle="1" w:styleId="58">
    <w:name w:val="标题 3 Char"/>
    <w:basedOn w:val="46"/>
    <w:link w:val="6"/>
    <w:qFormat/>
    <w:uiPriority w:val="0"/>
    <w:rPr>
      <w:b/>
      <w:bCs/>
      <w:kern w:val="2"/>
      <w:sz w:val="32"/>
      <w:szCs w:val="32"/>
    </w:rPr>
  </w:style>
  <w:style w:type="character" w:customStyle="1" w:styleId="59">
    <w:name w:val="纯文本 Char"/>
    <w:link w:val="2"/>
    <w:qFormat/>
    <w:uiPriority w:val="0"/>
    <w:rPr>
      <w:rFonts w:hAnsi="Courier New" w:eastAsia="宋体"/>
    </w:rPr>
  </w:style>
  <w:style w:type="paragraph" w:customStyle="1" w:styleId="60">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61">
    <w:name w:val="标题 4 Char"/>
    <w:basedOn w:val="46"/>
    <w:link w:val="7"/>
    <w:qFormat/>
    <w:uiPriority w:val="0"/>
    <w:rPr>
      <w:rFonts w:ascii="Arial" w:hAnsi="Arial" w:eastAsia="黑体" w:cs="Times New Roman"/>
      <w:b/>
      <w:bCs/>
      <w:sz w:val="28"/>
      <w:szCs w:val="28"/>
    </w:rPr>
  </w:style>
  <w:style w:type="character" w:customStyle="1" w:styleId="62">
    <w:name w:val="标题 5 Char"/>
    <w:basedOn w:val="46"/>
    <w:link w:val="8"/>
    <w:qFormat/>
    <w:uiPriority w:val="0"/>
    <w:rPr>
      <w:rFonts w:ascii="Times New Roman" w:hAnsi="Times New Roman" w:eastAsia="宋体" w:cs="Times New Roman"/>
      <w:b/>
      <w:sz w:val="28"/>
    </w:rPr>
  </w:style>
  <w:style w:type="character" w:customStyle="1" w:styleId="63">
    <w:name w:val="标题 6 Char"/>
    <w:basedOn w:val="46"/>
    <w:link w:val="11"/>
    <w:qFormat/>
    <w:uiPriority w:val="0"/>
    <w:rPr>
      <w:rFonts w:ascii="Arial" w:hAnsi="Arial" w:eastAsia="黑体" w:cs="Times New Roman"/>
      <w:b/>
      <w:sz w:val="24"/>
    </w:rPr>
  </w:style>
  <w:style w:type="character" w:customStyle="1" w:styleId="64">
    <w:name w:val="标题 7 Char"/>
    <w:basedOn w:val="46"/>
    <w:link w:val="12"/>
    <w:qFormat/>
    <w:uiPriority w:val="0"/>
    <w:rPr>
      <w:rFonts w:ascii="Times New Roman" w:hAnsi="Times New Roman" w:eastAsia="宋体" w:cs="Times New Roman"/>
      <w:b/>
      <w:sz w:val="24"/>
    </w:rPr>
  </w:style>
  <w:style w:type="character" w:customStyle="1" w:styleId="65">
    <w:name w:val="标题 8 Char"/>
    <w:basedOn w:val="46"/>
    <w:link w:val="13"/>
    <w:qFormat/>
    <w:uiPriority w:val="0"/>
    <w:rPr>
      <w:rFonts w:ascii="Arial" w:hAnsi="Arial" w:eastAsia="黑体" w:cs="Times New Roman"/>
      <w:sz w:val="24"/>
    </w:rPr>
  </w:style>
  <w:style w:type="character" w:customStyle="1" w:styleId="66">
    <w:name w:val="标题 9 Char"/>
    <w:basedOn w:val="46"/>
    <w:link w:val="14"/>
    <w:qFormat/>
    <w:uiPriority w:val="0"/>
    <w:rPr>
      <w:rFonts w:ascii="Arial" w:hAnsi="Arial" w:eastAsia="黑体" w:cs="Times New Roman"/>
    </w:rPr>
  </w:style>
  <w:style w:type="character" w:customStyle="1" w:styleId="67">
    <w:name w:val="标题 1 Char"/>
    <w:link w:val="4"/>
    <w:qFormat/>
    <w:uiPriority w:val="0"/>
    <w:rPr>
      <w:rFonts w:ascii="Times New Roman" w:hAnsi="Times New Roman" w:eastAsia="宋体"/>
      <w:bCs/>
      <w:kern w:val="44"/>
      <w:sz w:val="36"/>
      <w:szCs w:val="36"/>
    </w:rPr>
  </w:style>
  <w:style w:type="character" w:customStyle="1" w:styleId="68">
    <w:name w:val="标题 2 Char"/>
    <w:link w:val="5"/>
    <w:qFormat/>
    <w:uiPriority w:val="0"/>
    <w:rPr>
      <w:rFonts w:eastAsia="宋体"/>
      <w:b/>
      <w:sz w:val="24"/>
    </w:rPr>
  </w:style>
  <w:style w:type="character" w:customStyle="1" w:styleId="69">
    <w:name w:val="标题 3 Char1"/>
    <w:qFormat/>
    <w:uiPriority w:val="0"/>
    <w:rPr>
      <w:rFonts w:ascii="宋体" w:hAnsi="宋体" w:eastAsia="宋体" w:cs="Times New Roman"/>
      <w:b/>
      <w:bCs/>
      <w:sz w:val="28"/>
      <w:szCs w:val="32"/>
    </w:rPr>
  </w:style>
  <w:style w:type="character" w:customStyle="1" w:styleId="70">
    <w:name w:val="正文缩进 Char"/>
    <w:link w:val="9"/>
    <w:qFormat/>
    <w:uiPriority w:val="0"/>
    <w:rPr>
      <w:rFonts w:ascii="Times New Roman" w:hAnsi="Times New Roman" w:eastAsia="宋体"/>
    </w:rPr>
  </w:style>
  <w:style w:type="character" w:customStyle="1" w:styleId="71">
    <w:name w:val="正文文本 Char"/>
    <w:link w:val="10"/>
    <w:qFormat/>
    <w:uiPriority w:val="0"/>
    <w:rPr>
      <w:rFonts w:ascii="Times New Roman" w:hAnsi="Times New Roman" w:eastAsia="宋体"/>
      <w:b/>
      <w:bCs/>
      <w:sz w:val="24"/>
      <w:szCs w:val="24"/>
    </w:rPr>
  </w:style>
  <w:style w:type="character" w:customStyle="1" w:styleId="72">
    <w:name w:val="文档结构图 Char"/>
    <w:basedOn w:val="46"/>
    <w:link w:val="17"/>
    <w:qFormat/>
    <w:uiPriority w:val="0"/>
    <w:rPr>
      <w:rFonts w:ascii="Times New Roman" w:hAnsi="Times New Roman" w:eastAsia="宋体" w:cs="Times New Roman"/>
      <w:szCs w:val="24"/>
      <w:shd w:val="clear" w:color="auto" w:fill="000080"/>
    </w:rPr>
  </w:style>
  <w:style w:type="character" w:customStyle="1" w:styleId="73">
    <w:name w:val="批注文字 Char"/>
    <w:qFormat/>
    <w:uiPriority w:val="0"/>
    <w:rPr>
      <w:rFonts w:ascii="宋体" w:hAnsi="Times New Roman" w:eastAsia="宋体" w:cs="Times New Roman"/>
      <w:kern w:val="0"/>
      <w:sz w:val="34"/>
      <w:szCs w:val="20"/>
    </w:rPr>
  </w:style>
  <w:style w:type="character" w:customStyle="1" w:styleId="74">
    <w:name w:val="正文文本 3 Char"/>
    <w:basedOn w:val="46"/>
    <w:link w:val="19"/>
    <w:qFormat/>
    <w:uiPriority w:val="0"/>
    <w:rPr>
      <w:rFonts w:ascii="Times New Roman" w:hAnsi="Times New Roman" w:eastAsia="宋体" w:cs="Times New Roman"/>
      <w:sz w:val="16"/>
      <w:szCs w:val="16"/>
    </w:rPr>
  </w:style>
  <w:style w:type="character" w:customStyle="1" w:styleId="75">
    <w:name w:val="正文文本缩进 Char"/>
    <w:link w:val="20"/>
    <w:qFormat/>
    <w:uiPriority w:val="0"/>
    <w:rPr>
      <w:rFonts w:ascii="Times New Roman" w:hAnsi="Times New Roman" w:eastAsia="宋体"/>
      <w:szCs w:val="24"/>
    </w:rPr>
  </w:style>
  <w:style w:type="character" w:customStyle="1" w:styleId="76">
    <w:name w:val="日期 Char"/>
    <w:basedOn w:val="46"/>
    <w:link w:val="25"/>
    <w:qFormat/>
    <w:uiPriority w:val="0"/>
    <w:rPr>
      <w:rFonts w:ascii="Calibri" w:hAnsi="Calibri" w:eastAsia="宋体" w:cs="Times New Roman"/>
    </w:rPr>
  </w:style>
  <w:style w:type="character" w:customStyle="1" w:styleId="77">
    <w:name w:val="正文文本缩进 2 Char"/>
    <w:basedOn w:val="46"/>
    <w:link w:val="26"/>
    <w:qFormat/>
    <w:uiPriority w:val="0"/>
    <w:rPr>
      <w:rFonts w:ascii="Times New Roman" w:hAnsi="Times New Roman" w:eastAsia="宋体" w:cs="Times New Roman"/>
      <w:szCs w:val="24"/>
    </w:rPr>
  </w:style>
  <w:style w:type="character" w:customStyle="1" w:styleId="78">
    <w:name w:val="页脚 Char"/>
    <w:link w:val="28"/>
    <w:qFormat/>
    <w:uiPriority w:val="99"/>
    <w:rPr>
      <w:rFonts w:ascii="Calibri" w:hAnsi="Calibri" w:eastAsia="宋体"/>
      <w:sz w:val="18"/>
      <w:szCs w:val="18"/>
    </w:rPr>
  </w:style>
  <w:style w:type="character" w:customStyle="1" w:styleId="79">
    <w:name w:val="页眉 Char"/>
    <w:link w:val="29"/>
    <w:qFormat/>
    <w:uiPriority w:val="0"/>
    <w:rPr>
      <w:rFonts w:ascii="Calibri" w:hAnsi="Calibri" w:eastAsia="宋体"/>
      <w:sz w:val="18"/>
      <w:szCs w:val="18"/>
    </w:rPr>
  </w:style>
  <w:style w:type="character" w:customStyle="1" w:styleId="80">
    <w:name w:val="副标题 Char"/>
    <w:basedOn w:val="46"/>
    <w:link w:val="32"/>
    <w:qFormat/>
    <w:uiPriority w:val="0"/>
    <w:rPr>
      <w:rFonts w:ascii="Cambria" w:hAnsi="Cambria" w:eastAsia="宋体" w:cs="Times New Roman"/>
      <w:b/>
      <w:bCs/>
      <w:kern w:val="28"/>
      <w:sz w:val="32"/>
      <w:szCs w:val="32"/>
    </w:rPr>
  </w:style>
  <w:style w:type="character" w:customStyle="1" w:styleId="81">
    <w:name w:val="正文文本缩进 3 Char"/>
    <w:basedOn w:val="46"/>
    <w:link w:val="34"/>
    <w:qFormat/>
    <w:uiPriority w:val="0"/>
    <w:rPr>
      <w:rFonts w:ascii="Times New Roman" w:hAnsi="Times New Roman" w:eastAsia="宋体" w:cs="Times New Roman"/>
      <w:b/>
      <w:bCs/>
      <w:sz w:val="24"/>
      <w:szCs w:val="24"/>
    </w:rPr>
  </w:style>
  <w:style w:type="character" w:customStyle="1" w:styleId="82">
    <w:name w:val="正文文本 2 Char"/>
    <w:basedOn w:val="46"/>
    <w:link w:val="37"/>
    <w:qFormat/>
    <w:uiPriority w:val="0"/>
    <w:rPr>
      <w:rFonts w:ascii="Times New Roman" w:hAnsi="Times New Roman" w:eastAsia="宋体" w:cs="Times New Roman"/>
      <w:sz w:val="24"/>
      <w:szCs w:val="24"/>
    </w:rPr>
  </w:style>
  <w:style w:type="character" w:customStyle="1" w:styleId="83">
    <w:name w:val="信息标题 Char"/>
    <w:basedOn w:val="46"/>
    <w:link w:val="38"/>
    <w:qFormat/>
    <w:uiPriority w:val="0"/>
    <w:rPr>
      <w:rFonts w:ascii="Times New Roman" w:hAnsi="Times New Roman" w:eastAsia="宋体" w:cs="Times New Roman"/>
      <w:kern w:val="2"/>
      <w:sz w:val="24"/>
      <w:szCs w:val="22"/>
      <w:shd w:val="pct20" w:color="auto" w:fill="auto"/>
    </w:rPr>
  </w:style>
  <w:style w:type="character" w:customStyle="1" w:styleId="84">
    <w:name w:val="HTML 预设格式 Char"/>
    <w:basedOn w:val="46"/>
    <w:link w:val="39"/>
    <w:qFormat/>
    <w:uiPriority w:val="0"/>
    <w:rPr>
      <w:rFonts w:ascii="Arial Unicode MS" w:hAnsi="Arial Unicode MS" w:eastAsia="Arial Unicode MS" w:cs="Times New Roman"/>
      <w:color w:val="000000"/>
    </w:rPr>
  </w:style>
  <w:style w:type="character" w:customStyle="1" w:styleId="85">
    <w:name w:val="标题 Char"/>
    <w:basedOn w:val="46"/>
    <w:link w:val="41"/>
    <w:qFormat/>
    <w:uiPriority w:val="0"/>
    <w:rPr>
      <w:rFonts w:ascii="Arial" w:hAnsi="Arial" w:eastAsia="隶书" w:cs="Times New Roman"/>
      <w:b/>
      <w:bCs/>
      <w:sz w:val="32"/>
      <w:szCs w:val="32"/>
    </w:rPr>
  </w:style>
  <w:style w:type="character" w:customStyle="1" w:styleId="86">
    <w:name w:val="批注文字 Char1"/>
    <w:basedOn w:val="46"/>
    <w:link w:val="18"/>
    <w:qFormat/>
    <w:uiPriority w:val="0"/>
    <w:rPr>
      <w:rFonts w:hAnsi="Times New Roman" w:eastAsia="宋体"/>
      <w:sz w:val="34"/>
    </w:rPr>
  </w:style>
  <w:style w:type="character" w:customStyle="1" w:styleId="87">
    <w:name w:val="批注主题 Char"/>
    <w:basedOn w:val="86"/>
    <w:link w:val="42"/>
    <w:qFormat/>
    <w:uiPriority w:val="99"/>
    <w:rPr>
      <w:rFonts w:ascii="Times New Roman" w:hAnsi="Times New Roman" w:eastAsia="宋体" w:cs="Times New Roman"/>
      <w:b/>
      <w:bCs/>
      <w:sz w:val="34"/>
      <w:szCs w:val="24"/>
    </w:rPr>
  </w:style>
  <w:style w:type="character" w:customStyle="1" w:styleId="88">
    <w:name w:val="正文首行缩进 2 Char"/>
    <w:link w:val="43"/>
    <w:qFormat/>
    <w:uiPriority w:val="0"/>
    <w:rPr>
      <w:rFonts w:ascii="Calibri" w:hAnsi="Calibri" w:eastAsia="宋体"/>
      <w:kern w:val="2"/>
      <w:sz w:val="21"/>
      <w:szCs w:val="24"/>
    </w:rPr>
  </w:style>
  <w:style w:type="paragraph" w:customStyle="1" w:styleId="89">
    <w:name w:val="Default"/>
    <w:qFormat/>
    <w:uiPriority w:val="99"/>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90">
    <w:name w:val="文档正文"/>
    <w:basedOn w:val="1"/>
    <w:qFormat/>
    <w:uiPriority w:val="0"/>
    <w:pPr>
      <w:adjustRightInd w:val="0"/>
      <w:spacing w:line="480" w:lineRule="atLeast"/>
      <w:ind w:firstLine="567" w:firstLineChars="200"/>
      <w:textAlignment w:val="baseline"/>
    </w:pPr>
    <w:rPr>
      <w:rFonts w:ascii="长城仿宋" w:hAnsi="Times New Roman" w:eastAsia="宋体" w:cs="Times New Roman"/>
      <w:kern w:val="0"/>
      <w:szCs w:val="20"/>
    </w:rPr>
  </w:style>
  <w:style w:type="character" w:customStyle="1" w:styleId="91">
    <w:name w:val="font112"/>
    <w:qFormat/>
    <w:uiPriority w:val="0"/>
    <w:rPr>
      <w:rFonts w:hint="eastAsia" w:ascii="宋体" w:hAnsi="宋体" w:eastAsia="宋体" w:cs="宋体"/>
      <w:color w:val="000000"/>
      <w:sz w:val="24"/>
      <w:szCs w:val="24"/>
      <w:u w:val="none"/>
      <w:vertAlign w:val="superscript"/>
    </w:rPr>
  </w:style>
  <w:style w:type="character" w:customStyle="1" w:styleId="92">
    <w:name w:val="active"/>
    <w:qFormat/>
    <w:uiPriority w:val="0"/>
    <w:rPr>
      <w:color w:val="FFFFFF"/>
    </w:rPr>
  </w:style>
  <w:style w:type="character" w:customStyle="1" w:styleId="93">
    <w:name w:val="hilite"/>
    <w:qFormat/>
    <w:uiPriority w:val="0"/>
    <w:rPr>
      <w:color w:val="000000"/>
    </w:rPr>
  </w:style>
  <w:style w:type="character" w:customStyle="1" w:styleId="94">
    <w:name w:val="font51"/>
    <w:qFormat/>
    <w:uiPriority w:val="0"/>
    <w:rPr>
      <w:rFonts w:hint="default" w:ascii="Times New Roman" w:hAnsi="Times New Roman" w:cs="Times New Roman"/>
      <w:color w:val="000000"/>
      <w:sz w:val="24"/>
      <w:szCs w:val="24"/>
      <w:u w:val="none"/>
      <w:vertAlign w:val="superscript"/>
    </w:rPr>
  </w:style>
  <w:style w:type="character" w:customStyle="1" w:styleId="95">
    <w:name w:val="font91"/>
    <w:qFormat/>
    <w:uiPriority w:val="0"/>
    <w:rPr>
      <w:rFonts w:hint="eastAsia" w:ascii="宋体" w:hAnsi="宋体" w:eastAsia="宋体" w:cs="宋体"/>
      <w:color w:val="000000"/>
      <w:sz w:val="24"/>
      <w:szCs w:val="24"/>
      <w:u w:val="none"/>
    </w:rPr>
  </w:style>
  <w:style w:type="character" w:customStyle="1" w:styleId="96">
    <w:name w:val="标题 2 字符"/>
    <w:uiPriority w:val="0"/>
    <w:rPr>
      <w:rFonts w:ascii="宋体" w:hAnsi="宋体" w:eastAsia="宋体" w:cs="Times New Roman"/>
      <w:b/>
      <w:kern w:val="0"/>
      <w:sz w:val="24"/>
      <w:szCs w:val="20"/>
    </w:rPr>
  </w:style>
  <w:style w:type="character" w:customStyle="1" w:styleId="97">
    <w:name w:val="font21"/>
    <w:uiPriority w:val="0"/>
    <w:rPr>
      <w:rFonts w:hint="eastAsia" w:ascii="宋体" w:hAnsi="宋体" w:eastAsia="宋体" w:cs="宋体"/>
      <w:color w:val="000000"/>
      <w:sz w:val="21"/>
      <w:szCs w:val="21"/>
      <w:u w:val="none"/>
    </w:rPr>
  </w:style>
  <w:style w:type="character" w:customStyle="1" w:styleId="98">
    <w:name w:val="font11"/>
    <w:qFormat/>
    <w:uiPriority w:val="0"/>
    <w:rPr>
      <w:rFonts w:hint="eastAsia" w:ascii="宋体" w:hAnsi="宋体" w:eastAsia="宋体" w:cs="宋体"/>
      <w:color w:val="000000"/>
      <w:sz w:val="18"/>
      <w:szCs w:val="18"/>
      <w:u w:val="none"/>
    </w:rPr>
  </w:style>
  <w:style w:type="character" w:customStyle="1" w:styleId="99">
    <w:name w:val="标题21"/>
    <w:qFormat/>
    <w:uiPriority w:val="0"/>
  </w:style>
  <w:style w:type="character" w:customStyle="1" w:styleId="100">
    <w:name w:val="font31"/>
    <w:qFormat/>
    <w:uiPriority w:val="0"/>
    <w:rPr>
      <w:rFonts w:hint="eastAsia" w:ascii="宋体" w:hAnsi="宋体" w:eastAsia="宋体" w:cs="宋体"/>
      <w:color w:val="FF0000"/>
      <w:sz w:val="18"/>
      <w:szCs w:val="18"/>
      <w:u w:val="none"/>
    </w:rPr>
  </w:style>
  <w:style w:type="character" w:customStyle="1" w:styleId="101">
    <w:name w:val="Book Title"/>
    <w:qFormat/>
    <w:uiPriority w:val="33"/>
    <w:rPr>
      <w:b/>
      <w:bCs/>
      <w:smallCaps/>
      <w:spacing w:val="5"/>
    </w:rPr>
  </w:style>
  <w:style w:type="character" w:customStyle="1" w:styleId="102">
    <w:name w:val="fielderror"/>
    <w:uiPriority w:val="0"/>
    <w:rPr>
      <w:color w:val="800000"/>
    </w:rPr>
  </w:style>
  <w:style w:type="character" w:customStyle="1" w:styleId="103">
    <w:name w:val="inline-help"/>
    <w:uiPriority w:val="0"/>
  </w:style>
  <w:style w:type="character" w:customStyle="1" w:styleId="104">
    <w:name w:val="font01"/>
    <w:qFormat/>
    <w:uiPriority w:val="0"/>
    <w:rPr>
      <w:rFonts w:hint="eastAsia" w:ascii="宋体" w:hAnsi="宋体" w:eastAsia="宋体" w:cs="宋体"/>
      <w:color w:val="FF0000"/>
      <w:sz w:val="18"/>
      <w:szCs w:val="18"/>
      <w:u w:val="none"/>
    </w:rPr>
  </w:style>
  <w:style w:type="character" w:customStyle="1" w:styleId="105">
    <w:name w:val="font101"/>
    <w:uiPriority w:val="0"/>
    <w:rPr>
      <w:rFonts w:ascii="新宋体" w:hAnsi="新宋体" w:eastAsia="新宋体" w:cs="新宋体"/>
      <w:color w:val="000000"/>
      <w:sz w:val="24"/>
      <w:szCs w:val="24"/>
      <w:u w:val="none"/>
    </w:rPr>
  </w:style>
  <w:style w:type="character" w:customStyle="1" w:styleId="106">
    <w:name w:val="font41"/>
    <w:qFormat/>
    <w:uiPriority w:val="0"/>
    <w:rPr>
      <w:rFonts w:hint="eastAsia" w:ascii="宋体" w:hAnsi="宋体" w:eastAsia="宋体" w:cs="宋体"/>
      <w:color w:val="000000"/>
      <w:sz w:val="18"/>
      <w:szCs w:val="18"/>
      <w:u w:val="none"/>
    </w:rPr>
  </w:style>
  <w:style w:type="character" w:customStyle="1" w:styleId="107">
    <w:name w:val="标题1"/>
    <w:qFormat/>
    <w:uiPriority w:val="0"/>
  </w:style>
  <w:style w:type="character" w:customStyle="1" w:styleId="108">
    <w:name w:val="font61"/>
    <w:uiPriority w:val="0"/>
    <w:rPr>
      <w:rFonts w:hint="default" w:ascii="Times New Roman" w:hAnsi="Times New Roman" w:cs="Times New Roman"/>
      <w:color w:val="000000"/>
      <w:sz w:val="24"/>
      <w:szCs w:val="24"/>
      <w:u w:val="none"/>
    </w:rPr>
  </w:style>
  <w:style w:type="paragraph" w:customStyle="1" w:styleId="109">
    <w:name w:val="Table Contents"/>
    <w:basedOn w:val="1"/>
    <w:uiPriority w:val="0"/>
    <w:pPr>
      <w:suppressAutoHyphens/>
      <w:autoSpaceDE w:val="0"/>
      <w:spacing w:after="120"/>
      <w:jc w:val="left"/>
    </w:pPr>
    <w:rPr>
      <w:rFonts w:ascii="Helvetica" w:hAnsi="Helvetica" w:eastAsia="宋体" w:cs="Times New Roman"/>
      <w:kern w:val="1"/>
      <w:sz w:val="20"/>
      <w:szCs w:val="20"/>
    </w:rPr>
  </w:style>
  <w:style w:type="paragraph" w:customStyle="1" w:styleId="110">
    <w:name w:val="Char1"/>
    <w:basedOn w:val="1"/>
    <w:uiPriority w:val="0"/>
    <w:pPr>
      <w:widowControl/>
      <w:spacing w:after="160" w:line="240" w:lineRule="exact"/>
      <w:jc w:val="left"/>
    </w:pPr>
    <w:rPr>
      <w:rFonts w:ascii="Verdana" w:hAnsi="Verdana" w:eastAsia="仿宋_GB2312" w:cs="Times New Roman"/>
      <w:kern w:val="0"/>
      <w:sz w:val="24"/>
      <w:szCs w:val="20"/>
      <w:lang w:eastAsia="en-US"/>
    </w:rPr>
  </w:style>
  <w:style w:type="paragraph" w:styleId="111">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12">
    <w:name w:val="Normal_0"/>
    <w:qFormat/>
    <w:uiPriority w:val="99"/>
    <w:pPr>
      <w:spacing w:before="120" w:after="240"/>
      <w:jc w:val="both"/>
    </w:pPr>
    <w:rPr>
      <w:rFonts w:ascii="Times New Roman" w:hAnsi="Times New Roman" w:eastAsia="微软雅黑" w:cs="Times New Roman"/>
      <w:sz w:val="22"/>
      <w:szCs w:val="22"/>
      <w:lang w:val="en-US" w:eastAsia="en-US" w:bidi="ar-SA"/>
    </w:rPr>
  </w:style>
  <w:style w:type="paragraph" w:customStyle="1" w:styleId="113">
    <w:name w:val="Table Paragraph"/>
    <w:basedOn w:val="1"/>
    <w:qFormat/>
    <w:uiPriority w:val="0"/>
    <w:pPr>
      <w:autoSpaceDE w:val="0"/>
      <w:autoSpaceDN w:val="0"/>
      <w:adjustRightInd w:val="0"/>
      <w:jc w:val="left"/>
    </w:pPr>
    <w:rPr>
      <w:rFonts w:ascii="宋体" w:hAnsi="宋体" w:eastAsia="宋体" w:cs="宋体"/>
      <w:kern w:val="0"/>
      <w:sz w:val="24"/>
      <w:szCs w:val="24"/>
    </w:rPr>
  </w:style>
  <w:style w:type="paragraph" w:customStyle="1" w:styleId="114">
    <w:name w:val="图标题"/>
    <w:basedOn w:val="1"/>
    <w:uiPriority w:val="0"/>
    <w:pPr>
      <w:tabs>
        <w:tab w:val="left" w:pos="2040"/>
      </w:tabs>
      <w:adjustRightInd w:val="0"/>
      <w:spacing w:line="360" w:lineRule="atLeast"/>
      <w:ind w:left="3780" w:hanging="420"/>
      <w:jc w:val="left"/>
      <w:textAlignment w:val="baseline"/>
    </w:pPr>
    <w:rPr>
      <w:rFonts w:ascii="Times New Roman" w:hAnsi="Times New Roman" w:eastAsia="宋体" w:cs="Times New Roman"/>
      <w:kern w:val="0"/>
      <w:sz w:val="24"/>
      <w:szCs w:val="20"/>
    </w:rPr>
  </w:style>
  <w:style w:type="paragraph" w:styleId="115">
    <w:name w:val="List Paragraph"/>
    <w:basedOn w:val="1"/>
    <w:qFormat/>
    <w:uiPriority w:val="34"/>
    <w:pPr>
      <w:ind w:firstLine="420" w:firstLineChars="200"/>
    </w:pPr>
    <w:rPr>
      <w:rFonts w:ascii="Times New Roman" w:hAnsi="Times New Roman" w:eastAsia="宋体" w:cs="Times New Roman"/>
    </w:rPr>
  </w:style>
  <w:style w:type="paragraph" w:customStyle="1" w:styleId="116">
    <w:name w:val="样式41"/>
    <w:basedOn w:val="1"/>
    <w:uiPriority w:val="0"/>
    <w:pPr>
      <w:tabs>
        <w:tab w:val="left" w:pos="945"/>
        <w:tab w:val="left" w:pos="2040"/>
      </w:tabs>
      <w:spacing w:line="360" w:lineRule="auto"/>
      <w:ind w:left="2040" w:leftChars="800" w:hanging="360" w:hangingChars="200"/>
    </w:pPr>
    <w:rPr>
      <w:rFonts w:ascii="Times New Roman" w:hAnsi="Times New Roman" w:eastAsia="宋体" w:cs="Times New Roman"/>
      <w:b/>
      <w:color w:val="000000"/>
      <w:sz w:val="24"/>
      <w:szCs w:val="20"/>
    </w:rPr>
  </w:style>
  <w:style w:type="paragraph" w:customStyle="1" w:styleId="117">
    <w:name w:val="Char Char Char Char Char Char Char1"/>
    <w:basedOn w:val="1"/>
    <w:uiPriority w:val="0"/>
    <w:pPr>
      <w:widowControl/>
      <w:spacing w:after="160" w:line="240" w:lineRule="exact"/>
      <w:jc w:val="left"/>
    </w:pPr>
    <w:rPr>
      <w:rFonts w:ascii="Times New Roman" w:hAnsi="Times New Roman" w:eastAsia="宋体" w:cs="Times New Roman"/>
      <w:szCs w:val="24"/>
    </w:rPr>
  </w:style>
  <w:style w:type="paragraph" w:customStyle="1" w:styleId="118">
    <w:name w:val="正文段落"/>
    <w:basedOn w:val="1"/>
    <w:qFormat/>
    <w:uiPriority w:val="99"/>
    <w:pPr>
      <w:spacing w:line="360" w:lineRule="auto"/>
      <w:ind w:firstLine="440" w:firstLineChars="200"/>
    </w:pPr>
    <w:rPr>
      <w:rFonts w:ascii="宋体" w:hAnsi="宋体" w:eastAsia="宋体" w:cs="宋体"/>
      <w:szCs w:val="20"/>
    </w:rPr>
  </w:style>
  <w:style w:type="paragraph" w:customStyle="1" w:styleId="119">
    <w:name w:val="paragraphinden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0">
    <w:name w:val="正文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Revision"/>
    <w:unhideWhenUsed/>
    <w:uiPriority w:val="99"/>
    <w:rPr>
      <w:rFonts w:ascii="Times New Roman" w:hAnsi="Times New Roman" w:eastAsia="宋体" w:cs="Times New Roman"/>
      <w:kern w:val="2"/>
      <w:sz w:val="21"/>
      <w:szCs w:val="22"/>
      <w:lang w:val="en-US" w:eastAsia="zh-CN" w:bidi="ar-SA"/>
    </w:rPr>
  </w:style>
  <w:style w:type="paragraph" w:customStyle="1" w:styleId="122">
    <w:name w:val="Char Char Char Char Char Char Char"/>
    <w:basedOn w:val="1"/>
    <w:uiPriority w:val="0"/>
    <w:pPr>
      <w:widowControl/>
      <w:spacing w:after="160" w:line="240" w:lineRule="exact"/>
      <w:jc w:val="left"/>
    </w:pPr>
    <w:rPr>
      <w:rFonts w:ascii="Times New Roman" w:hAnsi="Times New Roman" w:eastAsia="宋体" w:cs="Times New Roman"/>
      <w:szCs w:val="24"/>
    </w:rPr>
  </w:style>
  <w:style w:type="paragraph" w:customStyle="1" w:styleId="123">
    <w:name w:val="_Style 6"/>
    <w:next w:val="1"/>
    <w:qFormat/>
    <w:uiPriority w:val="0"/>
    <w:pPr>
      <w:widowControl w:val="0"/>
      <w:pBdr>
        <w:bottom w:val="single" w:color="auto" w:sz="6" w:space="1"/>
      </w:pBdr>
      <w:jc w:val="center"/>
    </w:pPr>
    <w:rPr>
      <w:rFonts w:ascii="Arial" w:hAnsi="Times New Roman" w:eastAsia="宋体" w:cs="Times New Roman"/>
      <w:vanish/>
      <w:kern w:val="2"/>
      <w:sz w:val="16"/>
      <w:lang w:val="en-US" w:eastAsia="zh-CN" w:bidi="ar-SA"/>
    </w:rPr>
  </w:style>
  <w:style w:type="paragraph" w:customStyle="1" w:styleId="124">
    <w:name w:val="_Style 5"/>
    <w:next w:val="1"/>
    <w:qFormat/>
    <w:uiPriority w:val="0"/>
    <w:pPr>
      <w:widowControl w:val="0"/>
      <w:pBdr>
        <w:top w:val="single" w:color="auto" w:sz="6" w:space="1"/>
      </w:pBdr>
      <w:jc w:val="center"/>
    </w:pPr>
    <w:rPr>
      <w:rFonts w:ascii="Arial" w:hAnsi="Times New Roman" w:eastAsia="宋体" w:cs="Times New Roman"/>
      <w:vanish/>
      <w:kern w:val="2"/>
      <w:sz w:val="16"/>
      <w:lang w:val="en-US" w:eastAsia="zh-CN" w:bidi="ar-SA"/>
    </w:rPr>
  </w:style>
  <w:style w:type="paragraph" w:customStyle="1" w:styleId="125">
    <w:name w:val="自定义正文"/>
    <w:basedOn w:val="1"/>
    <w:uiPriority w:val="0"/>
    <w:pPr>
      <w:spacing w:afterLines="50"/>
      <w:ind w:left="600" w:leftChars="600"/>
    </w:pPr>
    <w:rPr>
      <w:rFonts w:ascii="Times New Roman" w:hAnsi="Times New Roman" w:eastAsia="宋体" w:cs="Times New Roman"/>
      <w:szCs w:val="24"/>
    </w:rPr>
  </w:style>
  <w:style w:type="paragraph" w:customStyle="1" w:styleId="126">
    <w:name w:val="Char Char Char Char1"/>
    <w:basedOn w:val="1"/>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27">
    <w:name w:val="È±Ê¡ÎÄ±¾"/>
    <w:basedOn w:val="1"/>
    <w:uiPriority w:val="0"/>
    <w:pPr>
      <w:widowControl/>
      <w:overflowPunct w:val="0"/>
      <w:autoSpaceDE w:val="0"/>
      <w:autoSpaceDN w:val="0"/>
      <w:adjustRightInd w:val="0"/>
      <w:jc w:val="left"/>
      <w:textAlignment w:val="baseline"/>
    </w:pPr>
    <w:rPr>
      <w:rFonts w:ascii="Times New Roman" w:hAnsi="Times New Roman" w:eastAsia="宋体" w:cs="Times New Roman"/>
      <w:kern w:val="0"/>
      <w:sz w:val="24"/>
      <w:szCs w:val="20"/>
    </w:rPr>
  </w:style>
  <w:style w:type="paragraph" w:customStyle="1" w:styleId="128">
    <w:name w:val="小标题 1"/>
    <w:basedOn w:val="1"/>
    <w:qFormat/>
    <w:uiPriority w:val="0"/>
    <w:pPr>
      <w:autoSpaceDE w:val="0"/>
      <w:autoSpaceDN w:val="0"/>
      <w:adjustRightInd w:val="0"/>
      <w:spacing w:line="360" w:lineRule="atLeast"/>
    </w:pPr>
    <w:rPr>
      <w:rFonts w:ascii="文鼎粗黑" w:hAnsi="Times New Roman" w:eastAsia="文鼎粗黑" w:cs="Times New Roman"/>
      <w:kern w:val="0"/>
      <w:sz w:val="22"/>
      <w:szCs w:val="20"/>
    </w:rPr>
  </w:style>
  <w:style w:type="paragraph" w:customStyle="1" w:styleId="129">
    <w:name w:val="图"/>
    <w:basedOn w:val="1"/>
    <w:uiPriority w:val="0"/>
    <w:pPr>
      <w:keepNext/>
      <w:adjustRightInd w:val="0"/>
      <w:snapToGrid w:val="0"/>
      <w:spacing w:before="60" w:after="60" w:line="300" w:lineRule="auto"/>
      <w:jc w:val="center"/>
    </w:pPr>
    <w:rPr>
      <w:rFonts w:ascii="Times New Roman" w:hAnsi="Times New Roman" w:eastAsia="宋体" w:cs="Times New Roman"/>
      <w:spacing w:val="20"/>
      <w:kern w:val="0"/>
      <w:sz w:val="24"/>
      <w:szCs w:val="20"/>
    </w:rPr>
  </w:style>
  <w:style w:type="paragraph" w:customStyle="1" w:styleId="130">
    <w:name w:val="Char Char Char Char"/>
    <w:basedOn w:val="1"/>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31">
    <w:name w:val="Char Char Char Char Char"/>
    <w:basedOn w:val="1"/>
    <w:uiPriority w:val="0"/>
    <w:rPr>
      <w:rFonts w:ascii="Tahoma" w:hAnsi="Tahoma" w:eastAsia="宋体" w:cs="Times New Roman"/>
      <w:sz w:val="24"/>
      <w:szCs w:val="20"/>
    </w:rPr>
  </w:style>
  <w:style w:type="paragraph" w:customStyle="1" w:styleId="132">
    <w:name w:val="列出段落2"/>
    <w:basedOn w:val="1"/>
    <w:qFormat/>
    <w:uiPriority w:val="99"/>
    <w:pPr>
      <w:ind w:firstLine="420" w:firstLineChars="200"/>
    </w:pPr>
    <w:rPr>
      <w:rFonts w:ascii="Times New Roman" w:hAnsi="Times New Roman" w:eastAsia="宋体" w:cs="Times New Roman"/>
    </w:rPr>
  </w:style>
  <w:style w:type="paragraph" w:customStyle="1" w:styleId="133">
    <w:name w:val="Char Char"/>
    <w:basedOn w:val="1"/>
    <w:uiPriority w:val="0"/>
    <w:rPr>
      <w:rFonts w:ascii="Tahoma" w:hAnsi="Tahoma" w:eastAsia="宋体" w:cs="Times New Roman"/>
      <w:sz w:val="24"/>
      <w:szCs w:val="20"/>
    </w:rPr>
  </w:style>
  <w:style w:type="paragraph" w:customStyle="1" w:styleId="134">
    <w:name w:val="List Paragraph1"/>
    <w:basedOn w:val="1"/>
    <w:unhideWhenUsed/>
    <w:qFormat/>
    <w:uiPriority w:val="0"/>
    <w:pPr>
      <w:ind w:firstLine="420" w:firstLineChars="200"/>
    </w:pPr>
    <w:rPr>
      <w:rFonts w:ascii="Times New Roman" w:hAnsi="Times New Roman" w:eastAsia="宋体" w:cs="Times New Roman"/>
    </w:rPr>
  </w:style>
  <w:style w:type="character" w:customStyle="1" w:styleId="135">
    <w:name w:val="swiper-pagination-bullet-active8"/>
    <w:uiPriority w:val="0"/>
    <w:rPr>
      <w:shd w:val="clear" w:color="auto" w:fill="AF251B"/>
    </w:rPr>
  </w:style>
  <w:style w:type="paragraph" w:customStyle="1" w:styleId="136">
    <w:name w:val="正文_0"/>
    <w:qFormat/>
    <w:uiPriority w:val="0"/>
    <w:pPr>
      <w:spacing w:line="300" w:lineRule="exact"/>
      <w:jc w:val="both"/>
    </w:pPr>
    <w:rPr>
      <w:rFonts w:ascii="Times New Roman" w:hAnsi="Times New Roman" w:eastAsia="宋体" w:cs="Times New Roman"/>
      <w:kern w:val="2"/>
      <w:sz w:val="21"/>
      <w:szCs w:val="24"/>
      <w:lang w:val="en-US" w:eastAsia="zh-CN" w:bidi="ar-SA"/>
    </w:rPr>
  </w:style>
  <w:style w:type="paragraph" w:customStyle="1" w:styleId="137">
    <w:name w:val="NormalIndent"/>
    <w:qFormat/>
    <w:uiPriority w:val="0"/>
    <w:pPr>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138">
    <w:name w:val="WW-Default"/>
    <w:qFormat/>
    <w:uiPriority w:val="0"/>
    <w:pPr>
      <w:widowControl w:val="0"/>
      <w:suppressAutoHyphens/>
      <w:autoSpaceDE w:val="0"/>
    </w:pPr>
    <w:rPr>
      <w:rFonts w:ascii="Times New Roman" w:hAnsi="Times New Roman" w:eastAsia="宋体" w:cs="Times New Roman"/>
      <w:color w:val="000000"/>
      <w:sz w:val="24"/>
      <w:szCs w:val="24"/>
      <w:lang w:val="en-US" w:eastAsia="zh-CN" w:bidi="ar-SA"/>
    </w:rPr>
  </w:style>
  <w:style w:type="paragraph" w:customStyle="1" w:styleId="139">
    <w:name w:val="Table Text"/>
    <w:basedOn w:val="1"/>
    <w:semiHidden/>
    <w:qFormat/>
    <w:uiPriority w:val="0"/>
    <w:rPr>
      <w:rFonts w:ascii="宋体" w:hAnsi="宋体" w:eastAsia="宋体" w:cs="宋体"/>
      <w:sz w:val="20"/>
      <w:szCs w:val="20"/>
      <w:lang w:eastAsia="en-US"/>
    </w:rPr>
  </w:style>
  <w:style w:type="paragraph" w:customStyle="1" w:styleId="140">
    <w:name w:val="marklang-paragraph"/>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99</Pages>
  <Words>47321</Words>
  <Characters>49086</Characters>
  <Lines>409</Lines>
  <Paragraphs>115</Paragraphs>
  <TotalTime>0</TotalTime>
  <ScaleCrop>false</ScaleCrop>
  <LinksUpToDate>false</LinksUpToDate>
  <CharactersWithSpaces>52331</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2024-08-06T08:35:00Z</dcterms:created>
  <dc:creator>yh</dc:creator>
  <cp:lastModifiedBy>17117</cp:lastModifiedBy>
  <dcterms:modified xsi:type="dcterms:W3CDTF">2024-08-07T02:21:34Z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962DE702F085457DB58091962B0DDF67</vt:lpwstr>
  </property>
</Properties>
</file>