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80B2">
      <w:pPr>
        <w:spacing w:before="91" w:line="183" w:lineRule="auto"/>
        <w:ind w:left="4823"/>
        <w:outlineLvl w:val="0"/>
        <w:rPr>
          <w:rFonts w:ascii="微软雅黑" w:hAnsi="微软雅黑" w:eastAsia="微软雅黑" w:cs="微软雅黑"/>
          <w:sz w:val="45"/>
          <w:szCs w:val="45"/>
        </w:rPr>
      </w:pPr>
      <w:r>
        <w:rPr>
          <w:rFonts w:ascii="微软雅黑" w:hAnsi="微软雅黑" w:eastAsia="微软雅黑" w:cs="微软雅黑"/>
          <w:b/>
          <w:bCs/>
          <w:spacing w:val="-2"/>
          <w:sz w:val="45"/>
          <w:szCs w:val="45"/>
        </w:rPr>
        <w:t>鼻内镜</w:t>
      </w:r>
    </w:p>
    <w:p w14:paraId="377A3DB2">
      <w:pPr>
        <w:spacing w:line="344" w:lineRule="auto"/>
        <w:rPr>
          <w:rFonts w:ascii="Arial"/>
          <w:sz w:val="21"/>
        </w:rPr>
      </w:pPr>
    </w:p>
    <w:p w14:paraId="4C0829E9">
      <w:pPr>
        <w:spacing w:line="344" w:lineRule="auto"/>
        <w:rPr>
          <w:rFonts w:ascii="Arial"/>
          <w:sz w:val="21"/>
        </w:rPr>
      </w:pPr>
    </w:p>
    <w:p w14:paraId="6E55E942">
      <w:pPr>
        <w:spacing w:before="94" w:line="187" w:lineRule="auto"/>
        <w:ind w:left="13"/>
        <w:outlineLvl w:val="1"/>
        <w:rPr>
          <w:rFonts w:ascii="微软雅黑" w:hAnsi="微软雅黑" w:eastAsia="微软雅黑" w:cs="微软雅黑"/>
          <w:sz w:val="22"/>
          <w:szCs w:val="22"/>
        </w:rPr>
      </w:pPr>
      <w:r>
        <w:rPr>
          <w:rFonts w:ascii="微软雅黑" w:hAnsi="微软雅黑" w:eastAsia="微软雅黑" w:cs="微软雅黑"/>
          <w:b/>
          <w:bCs/>
          <w:spacing w:val="6"/>
          <w:sz w:val="22"/>
          <w:szCs w:val="22"/>
        </w:rPr>
        <w:t>一、设备配置清单（主要核心配套设备及配件）</w:t>
      </w:r>
    </w:p>
    <w:p w14:paraId="04B1BB55">
      <w:pPr>
        <w:spacing w:line="180" w:lineRule="exact"/>
      </w:pPr>
    </w:p>
    <w:tbl>
      <w:tblPr>
        <w:tblStyle w:val="4"/>
        <w:tblW w:w="10957" w:type="dxa"/>
        <w:tblInd w:w="1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top w:w="0" w:type="dxa"/>
          <w:left w:w="0" w:type="dxa"/>
          <w:bottom w:w="0" w:type="dxa"/>
          <w:right w:w="0" w:type="dxa"/>
        </w:tblCellMar>
      </w:tblPr>
      <w:tblGrid>
        <w:gridCol w:w="1967"/>
        <w:gridCol w:w="5020"/>
        <w:gridCol w:w="1974"/>
        <w:gridCol w:w="1996"/>
      </w:tblGrid>
      <w:tr w14:paraId="4823E936">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07" w:hRule="atLeast"/>
        </w:trPr>
        <w:tc>
          <w:tcPr>
            <w:tcW w:w="1967" w:type="dxa"/>
            <w:vAlign w:val="top"/>
          </w:tcPr>
          <w:p w14:paraId="2F8A2A74">
            <w:pPr>
              <w:pStyle w:val="5"/>
              <w:spacing w:before="52" w:line="244" w:lineRule="exact"/>
              <w:ind w:left="755"/>
            </w:pPr>
            <w:r>
              <w:rPr>
                <w:b/>
                <w:bCs/>
                <w:spacing w:val="4"/>
              </w:rPr>
              <w:t>序号</w:t>
            </w:r>
          </w:p>
        </w:tc>
        <w:tc>
          <w:tcPr>
            <w:tcW w:w="5020" w:type="dxa"/>
            <w:vAlign w:val="top"/>
          </w:tcPr>
          <w:p w14:paraId="5BF3C306">
            <w:pPr>
              <w:pStyle w:val="5"/>
              <w:spacing w:before="52" w:line="244" w:lineRule="exact"/>
              <w:ind w:left="2056"/>
            </w:pPr>
            <w:r>
              <w:rPr>
                <w:b/>
                <w:bCs/>
                <w:spacing w:val="5"/>
              </w:rPr>
              <w:t>项目名称</w:t>
            </w:r>
          </w:p>
        </w:tc>
        <w:tc>
          <w:tcPr>
            <w:tcW w:w="1974" w:type="dxa"/>
            <w:vAlign w:val="top"/>
          </w:tcPr>
          <w:p w14:paraId="528DB5EA">
            <w:pPr>
              <w:pStyle w:val="5"/>
              <w:spacing w:before="52" w:line="244" w:lineRule="exact"/>
              <w:ind w:left="761"/>
            </w:pPr>
            <w:r>
              <w:rPr>
                <w:b/>
                <w:bCs/>
                <w:spacing w:val="4"/>
              </w:rPr>
              <w:t>数量</w:t>
            </w:r>
          </w:p>
        </w:tc>
        <w:tc>
          <w:tcPr>
            <w:tcW w:w="1996" w:type="dxa"/>
            <w:vAlign w:val="top"/>
          </w:tcPr>
          <w:p w14:paraId="129C9472">
            <w:pPr>
              <w:pStyle w:val="5"/>
              <w:spacing w:before="52" w:line="244" w:lineRule="exact"/>
              <w:ind w:left="772"/>
            </w:pPr>
            <w:r>
              <w:rPr>
                <w:b/>
                <w:bCs/>
                <w:spacing w:val="3"/>
              </w:rPr>
              <w:t>单位</w:t>
            </w:r>
          </w:p>
        </w:tc>
      </w:tr>
      <w:tr w14:paraId="3FB57584">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749" w:hRule="atLeast"/>
        </w:trPr>
        <w:tc>
          <w:tcPr>
            <w:tcW w:w="1967" w:type="dxa"/>
            <w:vAlign w:val="top"/>
          </w:tcPr>
          <w:p w14:paraId="70366F4C">
            <w:pPr>
              <w:pStyle w:val="5"/>
              <w:spacing w:before="286" w:line="177" w:lineRule="auto"/>
              <w:ind w:left="935"/>
            </w:pPr>
            <w:r>
              <w:t>1</w:t>
            </w:r>
          </w:p>
        </w:tc>
        <w:tc>
          <w:tcPr>
            <w:tcW w:w="5020" w:type="dxa"/>
            <w:vAlign w:val="top"/>
          </w:tcPr>
          <w:p w14:paraId="12488DDB">
            <w:pPr>
              <w:pStyle w:val="5"/>
              <w:spacing w:before="271" w:line="187" w:lineRule="auto"/>
              <w:ind w:left="1936"/>
            </w:pPr>
            <w:r>
              <w:rPr>
                <w:spacing w:val="2"/>
              </w:rPr>
              <w:t>30度鼻内镜</w:t>
            </w:r>
          </w:p>
        </w:tc>
        <w:tc>
          <w:tcPr>
            <w:tcW w:w="1974" w:type="dxa"/>
            <w:vAlign w:val="top"/>
          </w:tcPr>
          <w:p w14:paraId="4CB3A543">
            <w:pPr>
              <w:pStyle w:val="5"/>
              <w:spacing w:before="287" w:line="176" w:lineRule="auto"/>
              <w:ind w:left="932"/>
            </w:pPr>
            <w:r>
              <w:t>2</w:t>
            </w:r>
          </w:p>
        </w:tc>
        <w:tc>
          <w:tcPr>
            <w:tcW w:w="1996" w:type="dxa"/>
            <w:vAlign w:val="top"/>
          </w:tcPr>
          <w:p w14:paraId="23B27D07">
            <w:pPr>
              <w:pStyle w:val="5"/>
              <w:spacing w:before="274" w:line="185" w:lineRule="auto"/>
              <w:ind w:left="884"/>
            </w:pPr>
            <w:r>
              <w:rPr>
                <w:spacing w:val="2"/>
              </w:rPr>
              <w:t>根</w:t>
            </w:r>
          </w:p>
        </w:tc>
      </w:tr>
      <w:tr w14:paraId="7A672489">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749" w:hRule="atLeast"/>
        </w:trPr>
        <w:tc>
          <w:tcPr>
            <w:tcW w:w="1967" w:type="dxa"/>
            <w:vAlign w:val="top"/>
          </w:tcPr>
          <w:p w14:paraId="60691643">
            <w:pPr>
              <w:pStyle w:val="5"/>
              <w:spacing w:before="290" w:line="176" w:lineRule="auto"/>
              <w:ind w:left="924"/>
            </w:pPr>
            <w:r>
              <w:t>2</w:t>
            </w:r>
          </w:p>
        </w:tc>
        <w:tc>
          <w:tcPr>
            <w:tcW w:w="5020" w:type="dxa"/>
            <w:vAlign w:val="top"/>
          </w:tcPr>
          <w:p w14:paraId="62E16D87">
            <w:pPr>
              <w:pStyle w:val="5"/>
              <w:spacing w:before="274" w:line="187" w:lineRule="auto"/>
              <w:ind w:left="1932"/>
            </w:pPr>
            <w:r>
              <w:rPr>
                <w:spacing w:val="2"/>
              </w:rPr>
              <w:t>70度鼻内镜</w:t>
            </w:r>
          </w:p>
        </w:tc>
        <w:tc>
          <w:tcPr>
            <w:tcW w:w="1974" w:type="dxa"/>
            <w:vAlign w:val="top"/>
          </w:tcPr>
          <w:p w14:paraId="3DCB6004">
            <w:pPr>
              <w:pStyle w:val="5"/>
              <w:spacing w:before="290" w:line="176" w:lineRule="auto"/>
              <w:ind w:left="932"/>
            </w:pPr>
            <w:r>
              <w:t>2</w:t>
            </w:r>
          </w:p>
        </w:tc>
        <w:tc>
          <w:tcPr>
            <w:tcW w:w="1996" w:type="dxa"/>
            <w:vAlign w:val="top"/>
          </w:tcPr>
          <w:p w14:paraId="77226F7F">
            <w:pPr>
              <w:pStyle w:val="5"/>
              <w:spacing w:before="277" w:line="185" w:lineRule="auto"/>
              <w:ind w:left="884"/>
            </w:pPr>
            <w:r>
              <w:rPr>
                <w:spacing w:val="2"/>
              </w:rPr>
              <w:t>根</w:t>
            </w:r>
          </w:p>
        </w:tc>
      </w:tr>
      <w:tr w14:paraId="0C7A69F3">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756" w:hRule="atLeast"/>
        </w:trPr>
        <w:tc>
          <w:tcPr>
            <w:tcW w:w="1967" w:type="dxa"/>
            <w:vAlign w:val="top"/>
          </w:tcPr>
          <w:p w14:paraId="7E53D1C4">
            <w:pPr>
              <w:pStyle w:val="5"/>
              <w:spacing w:before="294" w:line="176" w:lineRule="auto"/>
              <w:ind w:left="927"/>
            </w:pPr>
            <w:r>
              <w:t>3</w:t>
            </w:r>
          </w:p>
        </w:tc>
        <w:tc>
          <w:tcPr>
            <w:tcW w:w="5020" w:type="dxa"/>
            <w:vAlign w:val="top"/>
          </w:tcPr>
          <w:p w14:paraId="78C4A450">
            <w:pPr>
              <w:pStyle w:val="5"/>
              <w:spacing w:before="277" w:line="187" w:lineRule="auto"/>
              <w:ind w:left="1996"/>
            </w:pPr>
            <w:r>
              <w:rPr>
                <w:spacing w:val="3"/>
              </w:rPr>
              <w:t>0度鼻内镜</w:t>
            </w:r>
          </w:p>
        </w:tc>
        <w:tc>
          <w:tcPr>
            <w:tcW w:w="1974" w:type="dxa"/>
            <w:vAlign w:val="top"/>
          </w:tcPr>
          <w:p w14:paraId="16E92A7A">
            <w:pPr>
              <w:pStyle w:val="5"/>
              <w:spacing w:before="294" w:line="176" w:lineRule="auto"/>
              <w:ind w:left="932"/>
            </w:pPr>
            <w:r>
              <w:t>2</w:t>
            </w:r>
          </w:p>
        </w:tc>
        <w:tc>
          <w:tcPr>
            <w:tcW w:w="1996" w:type="dxa"/>
            <w:vAlign w:val="top"/>
          </w:tcPr>
          <w:p w14:paraId="2A106C6E">
            <w:pPr>
              <w:pStyle w:val="5"/>
              <w:spacing w:before="280" w:line="185" w:lineRule="auto"/>
              <w:ind w:left="884"/>
            </w:pPr>
            <w:r>
              <w:rPr>
                <w:spacing w:val="2"/>
              </w:rPr>
              <w:t>根</w:t>
            </w:r>
          </w:p>
        </w:tc>
      </w:tr>
    </w:tbl>
    <w:p w14:paraId="5E6AE0D1">
      <w:pPr>
        <w:spacing w:line="349" w:lineRule="auto"/>
        <w:rPr>
          <w:rFonts w:ascii="Arial"/>
          <w:sz w:val="21"/>
        </w:rPr>
      </w:pPr>
    </w:p>
    <w:p w14:paraId="24F24FA3">
      <w:pPr>
        <w:spacing w:line="349" w:lineRule="auto"/>
        <w:rPr>
          <w:rFonts w:ascii="Arial"/>
          <w:sz w:val="21"/>
        </w:rPr>
      </w:pPr>
    </w:p>
    <w:p w14:paraId="2061EB60">
      <w:pPr>
        <w:spacing w:before="94" w:line="186" w:lineRule="auto"/>
        <w:ind w:left="14"/>
        <w:outlineLvl w:val="1"/>
        <w:rPr>
          <w:rFonts w:ascii="微软雅黑" w:hAnsi="微软雅黑" w:eastAsia="微软雅黑" w:cs="微软雅黑"/>
          <w:sz w:val="22"/>
          <w:szCs w:val="22"/>
        </w:rPr>
      </w:pPr>
      <w:r>
        <w:rPr>
          <w:rFonts w:ascii="微软雅黑" w:hAnsi="微软雅黑" w:eastAsia="微软雅黑" w:cs="微软雅黑"/>
          <w:b/>
          <w:bCs/>
          <w:spacing w:val="4"/>
          <w:sz w:val="22"/>
          <w:szCs w:val="22"/>
        </w:rPr>
        <w:t>二、招标技术要求</w:t>
      </w:r>
    </w:p>
    <w:p w14:paraId="7E065923">
      <w:pPr>
        <w:spacing w:line="180" w:lineRule="exact"/>
      </w:pPr>
    </w:p>
    <w:tbl>
      <w:tblPr>
        <w:tblStyle w:val="4"/>
        <w:tblW w:w="10957" w:type="dxa"/>
        <w:tblInd w:w="12" w:type="dxa"/>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Layout w:type="fixed"/>
        <w:tblCellMar>
          <w:top w:w="0" w:type="dxa"/>
          <w:left w:w="0" w:type="dxa"/>
          <w:bottom w:w="0" w:type="dxa"/>
          <w:right w:w="0" w:type="dxa"/>
        </w:tblCellMar>
      </w:tblPr>
      <w:tblGrid>
        <w:gridCol w:w="10957"/>
      </w:tblGrid>
      <w:tr w14:paraId="03E757A7">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rPr>
          <w:trHeight w:val="2342" w:hRule="atLeast"/>
        </w:trPr>
        <w:tc>
          <w:tcPr>
            <w:tcW w:w="10957" w:type="dxa"/>
            <w:vAlign w:val="top"/>
          </w:tcPr>
          <w:p w14:paraId="030E86BE">
            <w:pPr>
              <w:pStyle w:val="5"/>
              <w:numPr>
                <w:numId w:val="0"/>
              </w:numPr>
              <w:tabs>
                <w:tab w:val="left" w:pos="93"/>
              </w:tabs>
              <w:spacing w:before="2" w:line="188" w:lineRule="auto"/>
              <w:ind w:left="19" w:leftChars="0" w:right="19" w:rightChars="0"/>
              <w:jc w:val="both"/>
              <w:rPr>
                <w:rFonts w:hint="eastAsia"/>
              </w:rPr>
            </w:pPr>
            <w:r>
              <w:rPr>
                <w:rFonts w:hint="eastAsia"/>
                <w:lang w:val="en-US" w:eastAsia="zh-CN"/>
              </w:rPr>
              <w:t>1.</w:t>
            </w:r>
            <w:r>
              <w:rPr>
                <w:rFonts w:hint="eastAsia"/>
              </w:rPr>
              <w:t>鼻内镜，</w:t>
            </w:r>
            <w:r>
              <w:rPr>
                <w:rFonts w:hint="eastAsia"/>
                <w:lang w:val="en-US" w:eastAsia="zh-CN"/>
              </w:rPr>
              <w:t>广</w:t>
            </w:r>
            <w:r>
              <w:rPr>
                <w:rFonts w:hint="eastAsia"/>
              </w:rPr>
              <w:t>角，直径4mm,有效工作长度≥18cm,</w:t>
            </w:r>
          </w:p>
          <w:p w14:paraId="262A6AA4">
            <w:pPr>
              <w:pStyle w:val="5"/>
              <w:numPr>
                <w:numId w:val="0"/>
              </w:numPr>
              <w:tabs>
                <w:tab w:val="left" w:pos="93"/>
              </w:tabs>
              <w:spacing w:before="2" w:line="188" w:lineRule="auto"/>
              <w:ind w:left="19" w:leftChars="0" w:right="19" w:rightChars="0"/>
              <w:jc w:val="both"/>
              <w:rPr>
                <w:rFonts w:hint="eastAsia"/>
              </w:rPr>
            </w:pPr>
            <w:r>
              <w:rPr>
                <w:rFonts w:hint="eastAsia"/>
                <w:lang w:val="en-US" w:eastAsia="zh-CN"/>
              </w:rPr>
              <w:t>2.</w:t>
            </w:r>
            <w:r>
              <w:rPr>
                <w:rFonts w:hint="eastAsia"/>
              </w:rPr>
              <w:t>视向角:0度、30度、70度</w:t>
            </w:r>
          </w:p>
          <w:p w14:paraId="2F41853C">
            <w:pPr>
              <w:pStyle w:val="5"/>
              <w:numPr>
                <w:numId w:val="0"/>
              </w:numPr>
              <w:tabs>
                <w:tab w:val="left" w:pos="93"/>
              </w:tabs>
              <w:spacing w:before="2" w:line="188" w:lineRule="auto"/>
              <w:ind w:left="19" w:leftChars="0" w:right="19" w:rightChars="0"/>
              <w:jc w:val="both"/>
              <w:rPr>
                <w:rFonts w:hint="eastAsia"/>
              </w:rPr>
            </w:pPr>
            <w:r>
              <w:rPr>
                <w:rFonts w:hint="eastAsia"/>
                <w:lang w:val="en-US" w:eastAsia="zh-CN"/>
              </w:rPr>
              <w:t>▲3.</w:t>
            </w:r>
            <w:r>
              <w:rPr>
                <w:rFonts w:hint="eastAsia"/>
              </w:rPr>
              <w:t>蓝宝石镜面,柱状晶体镜,镜体图像无扭曲,亮度高;</w:t>
            </w:r>
          </w:p>
          <w:p w14:paraId="12FA7C00">
            <w:pPr>
              <w:pStyle w:val="5"/>
              <w:numPr>
                <w:numId w:val="0"/>
              </w:numPr>
              <w:tabs>
                <w:tab w:val="left" w:pos="93"/>
              </w:tabs>
              <w:spacing w:before="2" w:line="188" w:lineRule="auto"/>
              <w:ind w:left="19" w:leftChars="0" w:right="19" w:rightChars="0"/>
              <w:jc w:val="both"/>
              <w:rPr>
                <w:rFonts w:hint="eastAsia"/>
              </w:rPr>
            </w:pPr>
            <w:r>
              <w:rPr>
                <w:rFonts w:hint="eastAsia"/>
              </w:rPr>
              <w:t>▲</w:t>
            </w:r>
            <w:r>
              <w:rPr>
                <w:rFonts w:hint="eastAsia"/>
                <w:lang w:val="en-US" w:eastAsia="zh-CN"/>
              </w:rPr>
              <w:t>4.具</w:t>
            </w:r>
            <w:r>
              <w:rPr>
                <w:rFonts w:hint="eastAsia"/>
              </w:rPr>
              <w:t>有浸泡、气熏或高温高压消毒</w:t>
            </w:r>
            <w:r>
              <w:rPr>
                <w:rFonts w:hint="eastAsia"/>
                <w:lang w:val="en-US" w:eastAsia="zh-CN"/>
              </w:rPr>
              <w:t>功能</w:t>
            </w:r>
            <w:r>
              <w:rPr>
                <w:rFonts w:hint="eastAsia"/>
              </w:rPr>
              <w:t>;</w:t>
            </w:r>
          </w:p>
          <w:p w14:paraId="444D8834">
            <w:pPr>
              <w:pStyle w:val="5"/>
              <w:numPr>
                <w:numId w:val="0"/>
              </w:numPr>
              <w:tabs>
                <w:tab w:val="left" w:pos="93"/>
              </w:tabs>
              <w:spacing w:before="2" w:line="188" w:lineRule="auto"/>
              <w:ind w:left="19" w:leftChars="0" w:right="19" w:rightChars="0"/>
              <w:jc w:val="both"/>
              <w:rPr>
                <w:rFonts w:hint="eastAsia"/>
              </w:rPr>
            </w:pPr>
            <w:r>
              <w:rPr>
                <w:rFonts w:hint="eastAsia"/>
              </w:rPr>
              <w:t>5.无需转接口就能连接各种品牌的导光束。</w:t>
            </w:r>
            <w:bookmarkStart w:id="0" w:name="_GoBack"/>
            <w:bookmarkEnd w:id="0"/>
          </w:p>
          <w:p w14:paraId="2CEB9188">
            <w:pPr>
              <w:pStyle w:val="5"/>
              <w:numPr>
                <w:numId w:val="0"/>
              </w:numPr>
              <w:tabs>
                <w:tab w:val="left" w:pos="93"/>
              </w:tabs>
              <w:spacing w:before="2" w:line="188" w:lineRule="auto"/>
              <w:ind w:left="19" w:leftChars="0" w:right="19" w:rightChars="0"/>
              <w:jc w:val="both"/>
              <w:rPr>
                <w:rFonts w:hint="eastAsia"/>
              </w:rPr>
            </w:pPr>
          </w:p>
        </w:tc>
      </w:tr>
    </w:tbl>
    <w:p w14:paraId="65812D02">
      <w:pPr>
        <w:spacing w:line="348" w:lineRule="auto"/>
        <w:rPr>
          <w:rFonts w:ascii="Arial"/>
          <w:sz w:val="21"/>
        </w:rPr>
      </w:pPr>
    </w:p>
    <w:p w14:paraId="21C5557F">
      <w:pPr>
        <w:spacing w:line="348" w:lineRule="auto"/>
        <w:rPr>
          <w:rFonts w:ascii="Arial"/>
          <w:sz w:val="21"/>
        </w:rPr>
      </w:pPr>
    </w:p>
    <w:p w14:paraId="06087683">
      <w:pPr>
        <w:spacing w:before="95" w:line="187" w:lineRule="auto"/>
        <w:ind w:left="13"/>
        <w:outlineLvl w:val="1"/>
        <w:rPr>
          <w:rFonts w:ascii="微软雅黑" w:hAnsi="微软雅黑" w:eastAsia="微软雅黑" w:cs="微软雅黑"/>
          <w:sz w:val="22"/>
          <w:szCs w:val="22"/>
        </w:rPr>
      </w:pPr>
      <w:r>
        <w:rPr>
          <w:rFonts w:ascii="微软雅黑" w:hAnsi="微软雅黑" w:eastAsia="微软雅黑" w:cs="微软雅黑"/>
          <w:b/>
          <w:bCs/>
          <w:spacing w:val="4"/>
          <w:sz w:val="22"/>
          <w:szCs w:val="22"/>
        </w:rPr>
        <w:t>三、商务条款</w:t>
      </w:r>
    </w:p>
    <w:p w14:paraId="15439B66">
      <w:pPr>
        <w:spacing w:line="181" w:lineRule="exact"/>
      </w:pPr>
    </w:p>
    <w:tbl>
      <w:tblPr>
        <w:tblStyle w:val="4"/>
        <w:tblW w:w="10957" w:type="dxa"/>
        <w:tblInd w:w="1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top w:w="0" w:type="dxa"/>
          <w:left w:w="0" w:type="dxa"/>
          <w:bottom w:w="0" w:type="dxa"/>
          <w:right w:w="0" w:type="dxa"/>
        </w:tblCellMar>
      </w:tblPr>
      <w:tblGrid>
        <w:gridCol w:w="571"/>
        <w:gridCol w:w="1410"/>
        <w:gridCol w:w="8976"/>
      </w:tblGrid>
      <w:tr w14:paraId="11434364">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35" w:hRule="atLeast"/>
        </w:trPr>
        <w:tc>
          <w:tcPr>
            <w:tcW w:w="571" w:type="dxa"/>
            <w:vAlign w:val="top"/>
          </w:tcPr>
          <w:p w14:paraId="201D4DB8">
            <w:pPr>
              <w:pStyle w:val="5"/>
              <w:spacing w:before="67" w:line="164" w:lineRule="auto"/>
              <w:ind w:left="56"/>
            </w:pPr>
            <w:r>
              <w:rPr>
                <w:b/>
                <w:bCs/>
                <w:spacing w:val="4"/>
              </w:rPr>
              <w:t>序号</w:t>
            </w:r>
          </w:p>
        </w:tc>
        <w:tc>
          <w:tcPr>
            <w:tcW w:w="1410" w:type="dxa"/>
            <w:vAlign w:val="top"/>
          </w:tcPr>
          <w:p w14:paraId="048C52AF">
            <w:pPr>
              <w:pStyle w:val="5"/>
              <w:spacing w:before="76" w:line="158" w:lineRule="auto"/>
              <w:ind w:left="496"/>
            </w:pPr>
            <w:r>
              <w:rPr>
                <w:b/>
                <w:bCs/>
                <w:spacing w:val="-4"/>
              </w:rPr>
              <w:t>目录</w:t>
            </w:r>
          </w:p>
        </w:tc>
        <w:tc>
          <w:tcPr>
            <w:tcW w:w="8976" w:type="dxa"/>
            <w:vAlign w:val="top"/>
          </w:tcPr>
          <w:p w14:paraId="28DB37E2">
            <w:pPr>
              <w:pStyle w:val="5"/>
              <w:spacing w:before="67" w:line="164" w:lineRule="auto"/>
              <w:ind w:left="4037"/>
            </w:pPr>
            <w:r>
              <w:rPr>
                <w:b/>
                <w:bCs/>
                <w:spacing w:val="3"/>
              </w:rPr>
              <w:t>商务要求</w:t>
            </w:r>
          </w:p>
        </w:tc>
      </w:tr>
      <w:tr w14:paraId="01E48EA8">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28" w:hRule="atLeast"/>
        </w:trPr>
        <w:tc>
          <w:tcPr>
            <w:tcW w:w="10957" w:type="dxa"/>
            <w:gridSpan w:val="3"/>
            <w:vAlign w:val="top"/>
          </w:tcPr>
          <w:p w14:paraId="1509E669">
            <w:pPr>
              <w:pStyle w:val="5"/>
              <w:spacing w:before="17" w:line="191" w:lineRule="auto"/>
            </w:pPr>
            <w:r>
              <w:rPr>
                <w:spacing w:val="6"/>
              </w:rPr>
              <w:t>（一）免费保修期内售后服务要求</w:t>
            </w:r>
          </w:p>
        </w:tc>
      </w:tr>
      <w:tr w14:paraId="327D26F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0" w:hRule="atLeast"/>
        </w:trPr>
        <w:tc>
          <w:tcPr>
            <w:tcW w:w="571" w:type="dxa"/>
            <w:vMerge w:val="restart"/>
            <w:tcBorders>
              <w:bottom w:val="nil"/>
            </w:tcBorders>
            <w:vAlign w:val="top"/>
          </w:tcPr>
          <w:p w14:paraId="7BD04E9A">
            <w:pPr>
              <w:rPr>
                <w:rFonts w:ascii="Arial"/>
                <w:sz w:val="21"/>
              </w:rPr>
            </w:pPr>
          </w:p>
          <w:p w14:paraId="0CF2306A">
            <w:pPr>
              <w:rPr>
                <w:rFonts w:ascii="Arial"/>
                <w:sz w:val="21"/>
              </w:rPr>
            </w:pPr>
          </w:p>
          <w:p w14:paraId="5C5A47D7">
            <w:pPr>
              <w:rPr>
                <w:rFonts w:ascii="Arial"/>
                <w:sz w:val="21"/>
              </w:rPr>
            </w:pPr>
          </w:p>
          <w:p w14:paraId="1C16E72B">
            <w:pPr>
              <w:rPr>
                <w:rFonts w:ascii="Arial"/>
                <w:sz w:val="21"/>
              </w:rPr>
            </w:pPr>
          </w:p>
          <w:p w14:paraId="2F28C139">
            <w:pPr>
              <w:spacing w:line="241" w:lineRule="auto"/>
              <w:rPr>
                <w:rFonts w:ascii="Arial"/>
                <w:sz w:val="21"/>
              </w:rPr>
            </w:pPr>
          </w:p>
          <w:p w14:paraId="75BEAB94">
            <w:pPr>
              <w:pStyle w:val="5"/>
              <w:spacing w:before="95" w:line="177" w:lineRule="auto"/>
              <w:ind w:left="41"/>
            </w:pPr>
            <w:r>
              <w:t>1</w:t>
            </w:r>
          </w:p>
        </w:tc>
        <w:tc>
          <w:tcPr>
            <w:tcW w:w="1410" w:type="dxa"/>
            <w:vMerge w:val="restart"/>
            <w:tcBorders>
              <w:bottom w:val="nil"/>
            </w:tcBorders>
            <w:vAlign w:val="top"/>
          </w:tcPr>
          <w:p w14:paraId="1CCEFDF7">
            <w:pPr>
              <w:spacing w:line="258" w:lineRule="auto"/>
              <w:rPr>
                <w:rFonts w:ascii="Arial"/>
                <w:sz w:val="21"/>
              </w:rPr>
            </w:pPr>
          </w:p>
          <w:p w14:paraId="5FD40EFA">
            <w:pPr>
              <w:spacing w:line="258" w:lineRule="auto"/>
              <w:rPr>
                <w:rFonts w:ascii="Arial"/>
                <w:sz w:val="21"/>
              </w:rPr>
            </w:pPr>
          </w:p>
          <w:p w14:paraId="47953F09">
            <w:pPr>
              <w:spacing w:line="259" w:lineRule="auto"/>
              <w:rPr>
                <w:rFonts w:ascii="Arial"/>
                <w:sz w:val="21"/>
              </w:rPr>
            </w:pPr>
          </w:p>
          <w:p w14:paraId="4EA6BDB7">
            <w:pPr>
              <w:spacing w:line="259" w:lineRule="auto"/>
              <w:rPr>
                <w:rFonts w:ascii="Arial"/>
                <w:sz w:val="21"/>
              </w:rPr>
            </w:pPr>
          </w:p>
          <w:p w14:paraId="6B61BD56">
            <w:pPr>
              <w:pStyle w:val="5"/>
              <w:spacing w:before="94" w:line="187" w:lineRule="auto"/>
              <w:ind w:left="12" w:right="33" w:firstLine="1"/>
            </w:pPr>
            <w:r>
              <w:rPr>
                <w:spacing w:val="5"/>
              </w:rPr>
              <w:t>维修及维护服</w:t>
            </w:r>
            <w:r>
              <w:rPr>
                <w:spacing w:val="1"/>
              </w:rPr>
              <w:t xml:space="preserve"> </w:t>
            </w:r>
            <w:r>
              <w:rPr>
                <w:spacing w:val="4"/>
              </w:rPr>
              <w:t>务</w:t>
            </w:r>
          </w:p>
        </w:tc>
        <w:tc>
          <w:tcPr>
            <w:tcW w:w="8976" w:type="dxa"/>
            <w:vAlign w:val="top"/>
          </w:tcPr>
          <w:p w14:paraId="1EC3AFFF">
            <w:pPr>
              <w:pStyle w:val="5"/>
              <w:spacing w:before="60" w:line="180" w:lineRule="auto"/>
              <w:ind w:left="14" w:right="62" w:firstLine="6"/>
              <w:jc w:val="both"/>
            </w:pPr>
            <w:r>
              <w:rPr>
                <w:spacing w:val="5"/>
              </w:rPr>
              <w:t>★1.1 所投货物(含所选配置及软硬件校准和</w:t>
            </w:r>
            <w:r>
              <w:rPr>
                <w:spacing w:val="4"/>
              </w:rPr>
              <w:t>升级)免费保修期不少于</w:t>
            </w:r>
            <w:r>
              <w:rPr>
                <w:spacing w:val="20"/>
                <w:w w:val="101"/>
              </w:rPr>
              <w:t xml:space="preserve"> </w:t>
            </w:r>
            <w:r>
              <w:rPr>
                <w:spacing w:val="4"/>
              </w:rPr>
              <w:t>5 年，时间自最终验收</w:t>
            </w:r>
            <w:r>
              <w:t xml:space="preserve"> </w:t>
            </w:r>
            <w:r>
              <w:rPr>
                <w:spacing w:val="6"/>
              </w:rPr>
              <w:t>合格并交付使用之日起计算（原则上以“采购人完成入库”为准）。</w:t>
            </w:r>
            <w:r>
              <w:rPr>
                <w:spacing w:val="5"/>
              </w:rPr>
              <w:t>中标人必须提供设备</w:t>
            </w:r>
            <w:r>
              <w:t xml:space="preserve">  </w:t>
            </w:r>
            <w:r>
              <w:rPr>
                <w:spacing w:val="1"/>
              </w:rPr>
              <w:t>原厂服务，终身维修。</w:t>
            </w:r>
          </w:p>
        </w:tc>
      </w:tr>
      <w:tr w14:paraId="0392E7DC">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0" w:hRule="atLeast"/>
        </w:trPr>
        <w:tc>
          <w:tcPr>
            <w:tcW w:w="571" w:type="dxa"/>
            <w:vMerge w:val="continue"/>
            <w:tcBorders>
              <w:top w:val="nil"/>
              <w:bottom w:val="nil"/>
            </w:tcBorders>
            <w:vAlign w:val="top"/>
          </w:tcPr>
          <w:p w14:paraId="427CF720">
            <w:pPr>
              <w:rPr>
                <w:rFonts w:ascii="Arial"/>
                <w:sz w:val="21"/>
              </w:rPr>
            </w:pPr>
          </w:p>
        </w:tc>
        <w:tc>
          <w:tcPr>
            <w:tcW w:w="1410" w:type="dxa"/>
            <w:vMerge w:val="continue"/>
            <w:tcBorders>
              <w:top w:val="nil"/>
              <w:bottom w:val="nil"/>
            </w:tcBorders>
            <w:vAlign w:val="top"/>
          </w:tcPr>
          <w:p w14:paraId="17BDBCC9">
            <w:pPr>
              <w:rPr>
                <w:rFonts w:ascii="Arial"/>
                <w:sz w:val="21"/>
              </w:rPr>
            </w:pPr>
          </w:p>
        </w:tc>
        <w:tc>
          <w:tcPr>
            <w:tcW w:w="8976" w:type="dxa"/>
            <w:vAlign w:val="top"/>
          </w:tcPr>
          <w:p w14:paraId="726DE58C">
            <w:pPr>
              <w:pStyle w:val="5"/>
              <w:spacing w:before="60" w:line="180" w:lineRule="auto"/>
              <w:ind w:left="16" w:right="58" w:firstLine="20"/>
            </w:pPr>
            <w:r>
              <w:rPr>
                <w:spacing w:val="3"/>
              </w:rPr>
              <w:t>1.2</w:t>
            </w:r>
            <w:r>
              <w:rPr>
                <w:spacing w:val="25"/>
              </w:rPr>
              <w:t xml:space="preserve"> </w:t>
            </w:r>
            <w:r>
              <w:rPr>
                <w:spacing w:val="3"/>
              </w:rPr>
              <w:t>由设备制造商提供售后服务，4 小时内响应，24 小时维修到位(不可抗力情况除</w:t>
            </w:r>
            <w:r>
              <w:rPr>
                <w:spacing w:val="2"/>
              </w:rPr>
              <w:t>外)。</w:t>
            </w:r>
            <w:r>
              <w:t xml:space="preserve">    </w:t>
            </w:r>
            <w:r>
              <w:rPr>
                <w:spacing w:val="6"/>
              </w:rPr>
              <w:t>如需更换消耗品和零配件需48小时之内完成，如遇产品重大故障</w:t>
            </w:r>
            <w:r>
              <w:rPr>
                <w:spacing w:val="5"/>
              </w:rPr>
              <w:t>，超72小时无法解决的，</w:t>
            </w:r>
            <w:r>
              <w:t xml:space="preserve"> </w:t>
            </w:r>
            <w:r>
              <w:rPr>
                <w:spacing w:val="-1"/>
              </w:rPr>
              <w:t>提供备用机。。</w:t>
            </w:r>
          </w:p>
        </w:tc>
      </w:tr>
      <w:tr w14:paraId="4826DE9F">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0" w:hRule="atLeast"/>
        </w:trPr>
        <w:tc>
          <w:tcPr>
            <w:tcW w:w="571" w:type="dxa"/>
            <w:vMerge w:val="continue"/>
            <w:tcBorders>
              <w:top w:val="nil"/>
            </w:tcBorders>
            <w:vAlign w:val="top"/>
          </w:tcPr>
          <w:p w14:paraId="03C50EB7">
            <w:pPr>
              <w:rPr>
                <w:rFonts w:ascii="Arial"/>
                <w:sz w:val="21"/>
              </w:rPr>
            </w:pPr>
          </w:p>
        </w:tc>
        <w:tc>
          <w:tcPr>
            <w:tcW w:w="1410" w:type="dxa"/>
            <w:vMerge w:val="continue"/>
            <w:tcBorders>
              <w:top w:val="nil"/>
            </w:tcBorders>
            <w:vAlign w:val="top"/>
          </w:tcPr>
          <w:p w14:paraId="793948A2">
            <w:pPr>
              <w:rPr>
                <w:rFonts w:ascii="Arial"/>
                <w:sz w:val="21"/>
              </w:rPr>
            </w:pPr>
          </w:p>
        </w:tc>
        <w:tc>
          <w:tcPr>
            <w:tcW w:w="8976" w:type="dxa"/>
            <w:vAlign w:val="top"/>
          </w:tcPr>
          <w:p w14:paraId="17400921">
            <w:pPr>
              <w:pStyle w:val="5"/>
              <w:spacing w:before="60" w:line="180" w:lineRule="auto"/>
              <w:ind w:left="15" w:right="80" w:firstLine="5"/>
              <w:jc w:val="both"/>
            </w:pPr>
            <w:r>
              <w:rPr>
                <w:spacing w:val="5"/>
              </w:rPr>
              <w:t>★1.3 设备制造商负责货物的终身维修，承</w:t>
            </w:r>
            <w:r>
              <w:rPr>
                <w:spacing w:val="4"/>
              </w:rPr>
              <w:t>诺至少</w:t>
            </w:r>
            <w:r>
              <w:rPr>
                <w:spacing w:val="25"/>
                <w:w w:val="101"/>
              </w:rPr>
              <w:t xml:space="preserve"> </w:t>
            </w:r>
            <w:r>
              <w:rPr>
                <w:spacing w:val="4"/>
              </w:rPr>
              <w:t>10 年原厂维修配件供应及软件升级。并</w:t>
            </w:r>
            <w:r>
              <w:t xml:space="preserve"> </w:t>
            </w:r>
            <w:r>
              <w:rPr>
                <w:spacing w:val="6"/>
              </w:rPr>
              <w:t>免费配合采购人完成设备端信息化接口改造。进口设备需提供设备</w:t>
            </w:r>
            <w:r>
              <w:rPr>
                <w:spacing w:val="5"/>
              </w:rPr>
              <w:t>厂家承诺函，国产设备</w:t>
            </w:r>
            <w:r>
              <w:t xml:space="preserve">  </w:t>
            </w:r>
            <w:r>
              <w:rPr>
                <w:spacing w:val="2"/>
              </w:rPr>
              <w:t>需提供供应商承诺函（格式自拟）。</w:t>
            </w:r>
          </w:p>
        </w:tc>
      </w:tr>
      <w:tr w14:paraId="7A411006">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1511" w:hRule="atLeast"/>
        </w:trPr>
        <w:tc>
          <w:tcPr>
            <w:tcW w:w="571" w:type="dxa"/>
            <w:vAlign w:val="top"/>
          </w:tcPr>
          <w:p w14:paraId="12CB2A58">
            <w:pPr>
              <w:spacing w:line="288" w:lineRule="auto"/>
              <w:rPr>
                <w:rFonts w:ascii="Arial"/>
                <w:sz w:val="21"/>
              </w:rPr>
            </w:pPr>
          </w:p>
          <w:p w14:paraId="5F7AFAD7">
            <w:pPr>
              <w:spacing w:line="288" w:lineRule="auto"/>
              <w:rPr>
                <w:rFonts w:ascii="Arial"/>
                <w:sz w:val="21"/>
              </w:rPr>
            </w:pPr>
          </w:p>
          <w:p w14:paraId="6A2EA04B">
            <w:pPr>
              <w:pStyle w:val="5"/>
              <w:spacing w:before="95" w:line="176" w:lineRule="auto"/>
              <w:ind w:left="31"/>
            </w:pPr>
            <w:r>
              <w:t>2</w:t>
            </w:r>
          </w:p>
        </w:tc>
        <w:tc>
          <w:tcPr>
            <w:tcW w:w="1410" w:type="dxa"/>
            <w:vAlign w:val="top"/>
          </w:tcPr>
          <w:p w14:paraId="08791A81">
            <w:pPr>
              <w:spacing w:line="281" w:lineRule="auto"/>
              <w:rPr>
                <w:rFonts w:ascii="Arial"/>
                <w:sz w:val="21"/>
              </w:rPr>
            </w:pPr>
          </w:p>
          <w:p w14:paraId="0BED88B5">
            <w:pPr>
              <w:spacing w:line="282" w:lineRule="auto"/>
              <w:rPr>
                <w:rFonts w:ascii="Arial"/>
                <w:sz w:val="21"/>
              </w:rPr>
            </w:pPr>
          </w:p>
          <w:p w14:paraId="0A2787FB">
            <w:pPr>
              <w:pStyle w:val="5"/>
              <w:spacing w:before="94" w:line="185" w:lineRule="auto"/>
              <w:ind w:left="12"/>
            </w:pPr>
            <w:r>
              <w:rPr>
                <w:spacing w:val="5"/>
              </w:rPr>
              <w:t>质量保证</w:t>
            </w:r>
          </w:p>
        </w:tc>
        <w:tc>
          <w:tcPr>
            <w:tcW w:w="8976" w:type="dxa"/>
            <w:vAlign w:val="top"/>
          </w:tcPr>
          <w:p w14:paraId="65676D7D">
            <w:pPr>
              <w:pStyle w:val="5"/>
              <w:spacing w:before="65" w:line="188" w:lineRule="auto"/>
              <w:ind w:left="15" w:right="58" w:firstLine="11"/>
            </w:pPr>
            <w:r>
              <w:rPr>
                <w:spacing w:val="5"/>
              </w:rPr>
              <w:t>2.1 免费保修期内，中标人应确保年开机率在95%以上，否则按照如下约定执行:</w:t>
            </w:r>
            <w:r>
              <w:rPr>
                <w:spacing w:val="4"/>
              </w:rPr>
              <w:t xml:space="preserve"> ①年开机</w:t>
            </w:r>
            <w:r>
              <w:t xml:space="preserve"> </w:t>
            </w:r>
            <w:r>
              <w:rPr>
                <w:spacing w:val="5"/>
              </w:rPr>
              <w:t>率90~95%(含95%)，扣履约保证金的</w:t>
            </w:r>
            <w:r>
              <w:rPr>
                <w:spacing w:val="4"/>
              </w:rPr>
              <w:t>30%; ②年开机率在85~90%(含90%)，扣履约保证</w:t>
            </w:r>
            <w:r>
              <w:t xml:space="preserve">  </w:t>
            </w:r>
            <w:r>
              <w:rPr>
                <w:spacing w:val="5"/>
              </w:rPr>
              <w:t>金的60%; ③年开机率低于85%(含85%)，中标人需无条件更换新机并赔偿采购人的直接经</w:t>
            </w:r>
            <w:r>
              <w:t xml:space="preserve"> </w:t>
            </w:r>
            <w:r>
              <w:rPr>
                <w:spacing w:val="2"/>
              </w:rPr>
              <w:t>济损失和间接经济损失，采购人有权扣除全额履约保证金。   注:年开机率=(365-停</w:t>
            </w:r>
            <w:r>
              <w:rPr>
                <w:spacing w:val="1"/>
              </w:rPr>
              <w:t>机天</w:t>
            </w:r>
          </w:p>
          <w:p w14:paraId="032A5A32">
            <w:pPr>
              <w:pStyle w:val="5"/>
              <w:spacing w:before="3" w:line="158" w:lineRule="auto"/>
              <w:ind w:left="15"/>
            </w:pPr>
            <w:r>
              <w:rPr>
                <w:spacing w:val="-3"/>
              </w:rPr>
              <w:t>数)/365)。</w:t>
            </w:r>
          </w:p>
        </w:tc>
      </w:tr>
      <w:tr w14:paraId="473CADCC">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35" w:hRule="atLeast"/>
        </w:trPr>
        <w:tc>
          <w:tcPr>
            <w:tcW w:w="10957" w:type="dxa"/>
            <w:gridSpan w:val="3"/>
            <w:vAlign w:val="top"/>
          </w:tcPr>
          <w:p w14:paraId="673C2025">
            <w:pPr>
              <w:pStyle w:val="5"/>
              <w:spacing w:before="68" w:line="163" w:lineRule="auto"/>
            </w:pPr>
            <w:r>
              <w:rPr>
                <w:spacing w:val="6"/>
              </w:rPr>
              <w:t>（二）免费保修期外售后服务要求</w:t>
            </w:r>
          </w:p>
        </w:tc>
      </w:tr>
    </w:tbl>
    <w:p w14:paraId="6C031D4C">
      <w:pPr>
        <w:rPr>
          <w:rFonts w:ascii="Arial"/>
          <w:sz w:val="21"/>
        </w:rPr>
      </w:pPr>
      <w:r>
        <w:pict>
          <v:rect id="_x0000_s1026" o:spid="_x0000_s1026" o:spt="1" style="position:absolute;left:0pt;margin-left:0pt;margin-top:12.35pt;height:0.4pt;width:549.1pt;z-index:251659264;mso-width-relative:page;mso-height-relative:page;" fillcolor="#CCCCCC" filled="t" stroked="f" coordsize="21600,21600">
            <v:path/>
            <v:fill on="t" focussize="0,0"/>
            <v:stroke on="f"/>
            <v:imagedata o:title=""/>
            <o:lock v:ext="edit"/>
          </v:rect>
        </w:pict>
      </w:r>
    </w:p>
    <w:p w14:paraId="369CD75F">
      <w:pPr>
        <w:rPr>
          <w:rFonts w:ascii="Arial" w:hAnsi="Arial" w:eastAsia="Arial" w:cs="Arial"/>
          <w:sz w:val="21"/>
          <w:szCs w:val="21"/>
        </w:rPr>
        <w:sectPr>
          <w:pgSz w:w="12240" w:h="15840"/>
          <w:pgMar w:top="303" w:right="632" w:bottom="0" w:left="625" w:header="0" w:footer="0" w:gutter="0"/>
          <w:cols w:space="720" w:num="1"/>
        </w:sectPr>
      </w:pPr>
    </w:p>
    <w:tbl>
      <w:tblPr>
        <w:tblStyle w:val="4"/>
        <w:tblW w:w="10957" w:type="dxa"/>
        <w:tblInd w:w="1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top w:w="0" w:type="dxa"/>
          <w:left w:w="0" w:type="dxa"/>
          <w:bottom w:w="0" w:type="dxa"/>
          <w:right w:w="0" w:type="dxa"/>
        </w:tblCellMar>
      </w:tblPr>
      <w:tblGrid>
        <w:gridCol w:w="571"/>
        <w:gridCol w:w="1410"/>
        <w:gridCol w:w="8976"/>
      </w:tblGrid>
      <w:tr w14:paraId="2013B1DF">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36" w:hRule="atLeast"/>
        </w:trPr>
        <w:tc>
          <w:tcPr>
            <w:tcW w:w="571" w:type="dxa"/>
            <w:vAlign w:val="top"/>
          </w:tcPr>
          <w:p w14:paraId="719BCB9A">
            <w:pPr>
              <w:pStyle w:val="5"/>
              <w:spacing w:before="66" w:line="165" w:lineRule="auto"/>
              <w:ind w:left="56"/>
            </w:pPr>
            <w:r>
              <w:rPr>
                <w:b/>
                <w:bCs/>
                <w:spacing w:val="4"/>
              </w:rPr>
              <w:t>序号</w:t>
            </w:r>
          </w:p>
        </w:tc>
        <w:tc>
          <w:tcPr>
            <w:tcW w:w="1410" w:type="dxa"/>
            <w:vAlign w:val="top"/>
          </w:tcPr>
          <w:p w14:paraId="2DEAF581">
            <w:pPr>
              <w:pStyle w:val="5"/>
              <w:spacing w:before="75" w:line="159" w:lineRule="auto"/>
              <w:ind w:left="496"/>
            </w:pPr>
            <w:r>
              <w:rPr>
                <w:b/>
                <w:bCs/>
                <w:spacing w:val="-4"/>
              </w:rPr>
              <w:t>目录</w:t>
            </w:r>
          </w:p>
        </w:tc>
        <w:tc>
          <w:tcPr>
            <w:tcW w:w="8976" w:type="dxa"/>
            <w:vAlign w:val="top"/>
          </w:tcPr>
          <w:p w14:paraId="1FF76513">
            <w:pPr>
              <w:pStyle w:val="5"/>
              <w:spacing w:before="66" w:line="165" w:lineRule="auto"/>
              <w:ind w:left="4037"/>
            </w:pPr>
            <w:r>
              <w:rPr>
                <w:b/>
                <w:bCs/>
                <w:spacing w:val="3"/>
              </w:rPr>
              <w:t>商务要求</w:t>
            </w:r>
          </w:p>
        </w:tc>
      </w:tr>
      <w:tr w14:paraId="48448D85">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625" w:hRule="atLeast"/>
        </w:trPr>
        <w:tc>
          <w:tcPr>
            <w:tcW w:w="571" w:type="dxa"/>
            <w:vMerge w:val="restart"/>
            <w:tcBorders>
              <w:bottom w:val="nil"/>
            </w:tcBorders>
            <w:vAlign w:val="top"/>
          </w:tcPr>
          <w:p w14:paraId="6B4D3953">
            <w:pPr>
              <w:spacing w:line="241" w:lineRule="auto"/>
              <w:rPr>
                <w:rFonts w:ascii="Arial"/>
                <w:sz w:val="21"/>
              </w:rPr>
            </w:pPr>
          </w:p>
          <w:p w14:paraId="609789F0">
            <w:pPr>
              <w:spacing w:line="241" w:lineRule="auto"/>
              <w:rPr>
                <w:rFonts w:ascii="Arial"/>
                <w:sz w:val="21"/>
              </w:rPr>
            </w:pPr>
          </w:p>
          <w:p w14:paraId="23AD27E5">
            <w:pPr>
              <w:spacing w:line="241" w:lineRule="auto"/>
              <w:rPr>
                <w:rFonts w:ascii="Arial"/>
                <w:sz w:val="21"/>
              </w:rPr>
            </w:pPr>
          </w:p>
          <w:p w14:paraId="2E09E417">
            <w:pPr>
              <w:spacing w:line="241" w:lineRule="auto"/>
              <w:rPr>
                <w:rFonts w:ascii="Arial"/>
                <w:sz w:val="21"/>
              </w:rPr>
            </w:pPr>
          </w:p>
          <w:p w14:paraId="336C2FDD">
            <w:pPr>
              <w:spacing w:line="242" w:lineRule="auto"/>
              <w:rPr>
                <w:rFonts w:ascii="Arial"/>
                <w:sz w:val="21"/>
              </w:rPr>
            </w:pPr>
          </w:p>
          <w:p w14:paraId="5B0048C8">
            <w:pPr>
              <w:spacing w:line="242" w:lineRule="auto"/>
              <w:rPr>
                <w:rFonts w:ascii="Arial"/>
                <w:sz w:val="21"/>
              </w:rPr>
            </w:pPr>
          </w:p>
          <w:p w14:paraId="1CB00010">
            <w:pPr>
              <w:spacing w:line="242" w:lineRule="auto"/>
              <w:rPr>
                <w:rFonts w:ascii="Arial"/>
                <w:sz w:val="21"/>
              </w:rPr>
            </w:pPr>
          </w:p>
          <w:p w14:paraId="73B9FED4">
            <w:pPr>
              <w:pStyle w:val="5"/>
              <w:spacing w:before="95" w:line="177" w:lineRule="auto"/>
              <w:ind w:left="41"/>
            </w:pPr>
            <w:r>
              <w:t>1</w:t>
            </w:r>
          </w:p>
        </w:tc>
        <w:tc>
          <w:tcPr>
            <w:tcW w:w="1410" w:type="dxa"/>
            <w:vMerge w:val="restart"/>
            <w:tcBorders>
              <w:bottom w:val="nil"/>
            </w:tcBorders>
            <w:vAlign w:val="top"/>
          </w:tcPr>
          <w:p w14:paraId="3CBAC492">
            <w:pPr>
              <w:spacing w:line="255" w:lineRule="auto"/>
              <w:rPr>
                <w:rFonts w:ascii="Arial"/>
                <w:sz w:val="21"/>
              </w:rPr>
            </w:pPr>
          </w:p>
          <w:p w14:paraId="06B9C188">
            <w:pPr>
              <w:spacing w:line="256" w:lineRule="auto"/>
              <w:rPr>
                <w:rFonts w:ascii="Arial"/>
                <w:sz w:val="21"/>
              </w:rPr>
            </w:pPr>
          </w:p>
          <w:p w14:paraId="3FB90E41">
            <w:pPr>
              <w:spacing w:line="256" w:lineRule="auto"/>
              <w:rPr>
                <w:rFonts w:ascii="Arial"/>
                <w:sz w:val="21"/>
              </w:rPr>
            </w:pPr>
          </w:p>
          <w:p w14:paraId="4538D68D">
            <w:pPr>
              <w:spacing w:line="256" w:lineRule="auto"/>
              <w:rPr>
                <w:rFonts w:ascii="Arial"/>
                <w:sz w:val="21"/>
              </w:rPr>
            </w:pPr>
          </w:p>
          <w:p w14:paraId="2EA399CE">
            <w:pPr>
              <w:spacing w:line="256" w:lineRule="auto"/>
              <w:rPr>
                <w:rFonts w:ascii="Arial"/>
                <w:sz w:val="21"/>
              </w:rPr>
            </w:pPr>
          </w:p>
          <w:p w14:paraId="216E5C20">
            <w:pPr>
              <w:spacing w:line="256" w:lineRule="auto"/>
              <w:rPr>
                <w:rFonts w:ascii="Arial"/>
                <w:sz w:val="21"/>
              </w:rPr>
            </w:pPr>
          </w:p>
          <w:p w14:paraId="1FD7D68C">
            <w:pPr>
              <w:pStyle w:val="5"/>
              <w:spacing w:before="95" w:line="188" w:lineRule="auto"/>
              <w:ind w:left="16" w:right="33"/>
            </w:pPr>
            <w:r>
              <w:rPr>
                <w:spacing w:val="5"/>
              </w:rPr>
              <w:t>服务内容及要</w:t>
            </w:r>
            <w:r>
              <w:t xml:space="preserve"> </w:t>
            </w:r>
            <w:r>
              <w:rPr>
                <w:spacing w:val="1"/>
              </w:rPr>
              <w:t>求</w:t>
            </w:r>
          </w:p>
        </w:tc>
        <w:tc>
          <w:tcPr>
            <w:tcW w:w="8976" w:type="dxa"/>
            <w:vAlign w:val="top"/>
          </w:tcPr>
          <w:p w14:paraId="1D8A9A2E">
            <w:pPr>
              <w:pStyle w:val="5"/>
              <w:spacing w:before="70" w:line="173" w:lineRule="auto"/>
              <w:ind w:left="16" w:right="207" w:firstLine="20"/>
            </w:pPr>
            <w:r>
              <w:rPr>
                <w:spacing w:val="5"/>
              </w:rPr>
              <w:t>1.1 设备制造商提供售后服务，4 小时</w:t>
            </w:r>
            <w:r>
              <w:rPr>
                <w:spacing w:val="4"/>
              </w:rPr>
              <w:t>内响应，24 小时维修到位(不可抗力情况除外)。消</w:t>
            </w:r>
            <w:r>
              <w:t xml:space="preserve"> </w:t>
            </w:r>
            <w:r>
              <w:rPr>
                <w:spacing w:val="3"/>
              </w:rPr>
              <w:t>耗品和零配件供应及时，特殊情况下可提供备用机。</w:t>
            </w:r>
          </w:p>
        </w:tc>
      </w:tr>
      <w:tr w14:paraId="47A71134">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625" w:hRule="atLeast"/>
        </w:trPr>
        <w:tc>
          <w:tcPr>
            <w:tcW w:w="571" w:type="dxa"/>
            <w:vMerge w:val="continue"/>
            <w:tcBorders>
              <w:top w:val="nil"/>
              <w:bottom w:val="nil"/>
            </w:tcBorders>
            <w:vAlign w:val="top"/>
          </w:tcPr>
          <w:p w14:paraId="690F5AC4">
            <w:pPr>
              <w:rPr>
                <w:rFonts w:ascii="Arial"/>
                <w:sz w:val="21"/>
              </w:rPr>
            </w:pPr>
          </w:p>
        </w:tc>
        <w:tc>
          <w:tcPr>
            <w:tcW w:w="1410" w:type="dxa"/>
            <w:vMerge w:val="continue"/>
            <w:tcBorders>
              <w:top w:val="nil"/>
              <w:bottom w:val="nil"/>
            </w:tcBorders>
            <w:vAlign w:val="top"/>
          </w:tcPr>
          <w:p w14:paraId="0C74D910">
            <w:pPr>
              <w:rPr>
                <w:rFonts w:ascii="Arial"/>
                <w:sz w:val="21"/>
              </w:rPr>
            </w:pPr>
          </w:p>
        </w:tc>
        <w:tc>
          <w:tcPr>
            <w:tcW w:w="8976" w:type="dxa"/>
            <w:vAlign w:val="top"/>
          </w:tcPr>
          <w:p w14:paraId="08F5CD7D">
            <w:pPr>
              <w:pStyle w:val="5"/>
              <w:spacing w:before="70" w:line="173" w:lineRule="auto"/>
              <w:ind w:left="31" w:right="26" w:hanging="10"/>
            </w:pPr>
            <w:r>
              <w:rPr>
                <w:spacing w:val="5"/>
              </w:rPr>
              <w:t>★1.2 免费保修期满后，设备制造商以优惠价格供应原厂维修零配件、消耗品和延续保修合</w:t>
            </w:r>
            <w:r>
              <w:rPr>
                <w:spacing w:val="10"/>
              </w:rPr>
              <w:t xml:space="preserve"> </w:t>
            </w:r>
            <w:r>
              <w:rPr>
                <w:spacing w:val="-1"/>
              </w:rPr>
              <w:t>同及仅人工保修服务。</w:t>
            </w:r>
          </w:p>
        </w:tc>
      </w:tr>
      <w:tr w14:paraId="0CEE8CD6">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625" w:hRule="atLeast"/>
        </w:trPr>
        <w:tc>
          <w:tcPr>
            <w:tcW w:w="571" w:type="dxa"/>
            <w:vMerge w:val="continue"/>
            <w:tcBorders>
              <w:top w:val="nil"/>
              <w:bottom w:val="nil"/>
            </w:tcBorders>
            <w:vAlign w:val="top"/>
          </w:tcPr>
          <w:p w14:paraId="263574BA">
            <w:pPr>
              <w:rPr>
                <w:rFonts w:ascii="Arial"/>
                <w:sz w:val="21"/>
              </w:rPr>
            </w:pPr>
          </w:p>
        </w:tc>
        <w:tc>
          <w:tcPr>
            <w:tcW w:w="1410" w:type="dxa"/>
            <w:vMerge w:val="continue"/>
            <w:tcBorders>
              <w:top w:val="nil"/>
              <w:bottom w:val="nil"/>
            </w:tcBorders>
            <w:vAlign w:val="top"/>
          </w:tcPr>
          <w:p w14:paraId="72DF1E45">
            <w:pPr>
              <w:rPr>
                <w:rFonts w:ascii="Arial"/>
                <w:sz w:val="21"/>
              </w:rPr>
            </w:pPr>
          </w:p>
        </w:tc>
        <w:tc>
          <w:tcPr>
            <w:tcW w:w="8976" w:type="dxa"/>
            <w:vAlign w:val="top"/>
          </w:tcPr>
          <w:p w14:paraId="0680723A">
            <w:pPr>
              <w:pStyle w:val="5"/>
              <w:spacing w:before="70" w:line="173" w:lineRule="auto"/>
              <w:ind w:left="17" w:right="78" w:firstLine="18"/>
            </w:pPr>
            <w:r>
              <w:rPr>
                <w:spacing w:val="5"/>
              </w:rPr>
              <w:t>1.3 价格最高的前5项零配件、消耗品和延续全保修、仅人工保修服务，的优</w:t>
            </w:r>
            <w:r>
              <w:rPr>
                <w:spacing w:val="4"/>
              </w:rPr>
              <w:t>惠报价需填写</w:t>
            </w:r>
            <w:r>
              <w:t xml:space="preserve"> </w:t>
            </w:r>
            <w:r>
              <w:rPr>
                <w:spacing w:val="4"/>
              </w:rPr>
              <w:t>于《零配件、消耗品和延续保修合同报价明</w:t>
            </w:r>
            <w:r>
              <w:rPr>
                <w:spacing w:val="3"/>
              </w:rPr>
              <w:t>细清单》中。</w:t>
            </w:r>
          </w:p>
        </w:tc>
      </w:tr>
      <w:tr w14:paraId="56223E00">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Merge w:val="continue"/>
            <w:tcBorders>
              <w:top w:val="nil"/>
              <w:bottom w:val="nil"/>
            </w:tcBorders>
            <w:vAlign w:val="top"/>
          </w:tcPr>
          <w:p w14:paraId="6650D05D">
            <w:pPr>
              <w:rPr>
                <w:rFonts w:ascii="Arial"/>
                <w:sz w:val="21"/>
              </w:rPr>
            </w:pPr>
          </w:p>
        </w:tc>
        <w:tc>
          <w:tcPr>
            <w:tcW w:w="1410" w:type="dxa"/>
            <w:vMerge w:val="continue"/>
            <w:tcBorders>
              <w:top w:val="nil"/>
              <w:bottom w:val="nil"/>
            </w:tcBorders>
            <w:vAlign w:val="top"/>
          </w:tcPr>
          <w:p w14:paraId="384E6F4F">
            <w:pPr>
              <w:rPr>
                <w:rFonts w:ascii="Arial"/>
                <w:sz w:val="21"/>
              </w:rPr>
            </w:pPr>
          </w:p>
        </w:tc>
        <w:tc>
          <w:tcPr>
            <w:tcW w:w="8976" w:type="dxa"/>
            <w:vAlign w:val="top"/>
          </w:tcPr>
          <w:p w14:paraId="19986B2B">
            <w:pPr>
              <w:pStyle w:val="5"/>
              <w:spacing w:before="72" w:line="178" w:lineRule="auto"/>
              <w:ind w:left="16" w:right="144" w:firstLine="20"/>
              <w:jc w:val="both"/>
            </w:pPr>
            <w:r>
              <w:rPr>
                <w:spacing w:val="5"/>
              </w:rPr>
              <w:t>1.4 免费保修期外，采购人采购零配件、消耗品和延续保修服务明细内容时，可</w:t>
            </w:r>
            <w:r>
              <w:rPr>
                <w:spacing w:val="4"/>
              </w:rPr>
              <w:t>就价格进</w:t>
            </w:r>
            <w:r>
              <w:t xml:space="preserve">  </w:t>
            </w:r>
            <w:r>
              <w:rPr>
                <w:spacing w:val="6"/>
              </w:rPr>
              <w:t>行谈判，最终谈判价格不能高于《零配件、消耗品和延续保修合</w:t>
            </w:r>
            <w:r>
              <w:rPr>
                <w:spacing w:val="5"/>
              </w:rPr>
              <w:t>同报价明细清单》中优惠</w:t>
            </w:r>
            <w:r>
              <w:t xml:space="preserve"> </w:t>
            </w:r>
            <w:r>
              <w:rPr>
                <w:spacing w:val="-8"/>
              </w:rPr>
              <w:t>报价。</w:t>
            </w:r>
          </w:p>
        </w:tc>
      </w:tr>
      <w:tr w14:paraId="5B0B5461">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Merge w:val="continue"/>
            <w:tcBorders>
              <w:top w:val="nil"/>
            </w:tcBorders>
            <w:vAlign w:val="top"/>
          </w:tcPr>
          <w:p w14:paraId="0D9F4E05">
            <w:pPr>
              <w:rPr>
                <w:rFonts w:ascii="Arial"/>
                <w:sz w:val="21"/>
              </w:rPr>
            </w:pPr>
          </w:p>
        </w:tc>
        <w:tc>
          <w:tcPr>
            <w:tcW w:w="1410" w:type="dxa"/>
            <w:vMerge w:val="continue"/>
            <w:tcBorders>
              <w:top w:val="nil"/>
            </w:tcBorders>
            <w:vAlign w:val="top"/>
          </w:tcPr>
          <w:p w14:paraId="631DADF0">
            <w:pPr>
              <w:rPr>
                <w:rFonts w:ascii="Arial"/>
                <w:sz w:val="21"/>
              </w:rPr>
            </w:pPr>
          </w:p>
        </w:tc>
        <w:tc>
          <w:tcPr>
            <w:tcW w:w="8976" w:type="dxa"/>
            <w:vAlign w:val="top"/>
          </w:tcPr>
          <w:p w14:paraId="0156BD92">
            <w:pPr>
              <w:pStyle w:val="5"/>
              <w:spacing w:before="72" w:line="178" w:lineRule="auto"/>
              <w:ind w:left="16" w:right="165" w:firstLine="20"/>
              <w:jc w:val="both"/>
            </w:pPr>
            <w:r>
              <w:rPr>
                <w:spacing w:val="5"/>
              </w:rPr>
              <w:t>1.5</w:t>
            </w:r>
            <w:r>
              <w:rPr>
                <w:spacing w:val="20"/>
              </w:rPr>
              <w:t xml:space="preserve"> </w:t>
            </w:r>
            <w:r>
              <w:rPr>
                <w:spacing w:val="5"/>
              </w:rPr>
              <w:t>中标人及设备制造商不得以任何理由不按</w:t>
            </w:r>
            <w:r>
              <w:rPr>
                <w:spacing w:val="4"/>
              </w:rPr>
              <w:t>时进行维修，不得要求采购人购买所谓“保</w:t>
            </w:r>
            <w:r>
              <w:t xml:space="preserve"> </w:t>
            </w:r>
            <w:r>
              <w:rPr>
                <w:spacing w:val="5"/>
              </w:rPr>
              <w:t>修服务”(即:不论设备有无故障先买保修服务)，不得在设备中嵌设任何不利于采购人使用</w:t>
            </w:r>
            <w:r>
              <w:rPr>
                <w:spacing w:val="17"/>
                <w:w w:val="101"/>
              </w:rPr>
              <w:t xml:space="preserve"> </w:t>
            </w:r>
            <w:r>
              <w:t>与维修设备的障碍。</w:t>
            </w:r>
          </w:p>
        </w:tc>
      </w:tr>
      <w:tr w14:paraId="2FBA54B0">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29" w:hRule="atLeast"/>
        </w:trPr>
        <w:tc>
          <w:tcPr>
            <w:tcW w:w="10957" w:type="dxa"/>
            <w:gridSpan w:val="3"/>
            <w:vAlign w:val="top"/>
          </w:tcPr>
          <w:p w14:paraId="5F5AE145">
            <w:pPr>
              <w:pStyle w:val="5"/>
              <w:spacing w:before="72" w:line="157" w:lineRule="auto"/>
            </w:pPr>
            <w:r>
              <w:rPr>
                <w:spacing w:val="7"/>
              </w:rPr>
              <w:t>（三）其他商务要求</w:t>
            </w:r>
          </w:p>
        </w:tc>
      </w:tr>
      <w:tr w14:paraId="2F9D496F">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625" w:hRule="atLeast"/>
        </w:trPr>
        <w:tc>
          <w:tcPr>
            <w:tcW w:w="571" w:type="dxa"/>
            <w:vMerge w:val="restart"/>
            <w:tcBorders>
              <w:bottom w:val="nil"/>
            </w:tcBorders>
            <w:vAlign w:val="top"/>
          </w:tcPr>
          <w:p w14:paraId="018D5E79">
            <w:pPr>
              <w:spacing w:line="264" w:lineRule="auto"/>
              <w:rPr>
                <w:rFonts w:ascii="Arial"/>
                <w:sz w:val="21"/>
              </w:rPr>
            </w:pPr>
          </w:p>
          <w:p w14:paraId="1058CAA1">
            <w:pPr>
              <w:spacing w:line="264" w:lineRule="auto"/>
              <w:rPr>
                <w:rFonts w:ascii="Arial"/>
                <w:sz w:val="21"/>
              </w:rPr>
            </w:pPr>
          </w:p>
          <w:p w14:paraId="26E7F6FF">
            <w:pPr>
              <w:spacing w:line="265" w:lineRule="auto"/>
              <w:rPr>
                <w:rFonts w:ascii="Arial"/>
                <w:sz w:val="21"/>
              </w:rPr>
            </w:pPr>
          </w:p>
          <w:p w14:paraId="541B7A1F">
            <w:pPr>
              <w:spacing w:line="265" w:lineRule="auto"/>
              <w:rPr>
                <w:rFonts w:ascii="Arial"/>
                <w:sz w:val="21"/>
              </w:rPr>
            </w:pPr>
          </w:p>
          <w:p w14:paraId="68F4BC95">
            <w:pPr>
              <w:pStyle w:val="5"/>
              <w:spacing w:before="95" w:line="177" w:lineRule="auto"/>
              <w:ind w:left="41"/>
            </w:pPr>
            <w:r>
              <w:t>1</w:t>
            </w:r>
          </w:p>
        </w:tc>
        <w:tc>
          <w:tcPr>
            <w:tcW w:w="1410" w:type="dxa"/>
            <w:vMerge w:val="restart"/>
            <w:tcBorders>
              <w:bottom w:val="nil"/>
            </w:tcBorders>
            <w:vAlign w:val="top"/>
          </w:tcPr>
          <w:p w14:paraId="591DAA0B">
            <w:pPr>
              <w:spacing w:line="260" w:lineRule="auto"/>
              <w:rPr>
                <w:rFonts w:ascii="Arial"/>
                <w:sz w:val="21"/>
              </w:rPr>
            </w:pPr>
          </w:p>
          <w:p w14:paraId="7785519A">
            <w:pPr>
              <w:spacing w:line="261" w:lineRule="auto"/>
              <w:rPr>
                <w:rFonts w:ascii="Arial"/>
                <w:sz w:val="21"/>
              </w:rPr>
            </w:pPr>
          </w:p>
          <w:p w14:paraId="12FAD355">
            <w:pPr>
              <w:spacing w:line="261" w:lineRule="auto"/>
              <w:rPr>
                <w:rFonts w:ascii="Arial"/>
                <w:sz w:val="21"/>
              </w:rPr>
            </w:pPr>
          </w:p>
          <w:p w14:paraId="4F39886E">
            <w:pPr>
              <w:spacing w:line="261" w:lineRule="auto"/>
              <w:rPr>
                <w:rFonts w:ascii="Arial"/>
                <w:sz w:val="21"/>
              </w:rPr>
            </w:pPr>
          </w:p>
          <w:p w14:paraId="0476A333">
            <w:pPr>
              <w:pStyle w:val="5"/>
              <w:spacing w:before="94" w:line="187" w:lineRule="auto"/>
              <w:ind w:left="17"/>
            </w:pPr>
            <w:r>
              <w:rPr>
                <w:spacing w:val="4"/>
              </w:rPr>
              <w:t>交货要求</w:t>
            </w:r>
          </w:p>
        </w:tc>
        <w:tc>
          <w:tcPr>
            <w:tcW w:w="8976" w:type="dxa"/>
            <w:vAlign w:val="top"/>
          </w:tcPr>
          <w:p w14:paraId="40F7C0FA">
            <w:pPr>
              <w:pStyle w:val="5"/>
              <w:spacing w:before="70" w:line="173" w:lineRule="auto"/>
              <w:ind w:left="16" w:right="134" w:firstLine="5"/>
            </w:pPr>
            <w:r>
              <w:rPr>
                <w:spacing w:val="3"/>
              </w:rPr>
              <w:t>★1.1</w:t>
            </w:r>
            <w:r>
              <w:rPr>
                <w:spacing w:val="20"/>
              </w:rPr>
              <w:t xml:space="preserve"> </w:t>
            </w:r>
            <w:r>
              <w:rPr>
                <w:spacing w:val="3"/>
              </w:rPr>
              <w:t>中标人在签订合同之日起，国产设备 60</w:t>
            </w:r>
            <w:r>
              <w:rPr>
                <w:spacing w:val="36"/>
              </w:rPr>
              <w:t xml:space="preserve"> </w:t>
            </w:r>
            <w:r>
              <w:rPr>
                <w:spacing w:val="3"/>
              </w:rPr>
              <w:t>日历日内，进口设备 90</w:t>
            </w:r>
            <w:r>
              <w:rPr>
                <w:spacing w:val="35"/>
                <w:w w:val="101"/>
              </w:rPr>
              <w:t xml:space="preserve"> </w:t>
            </w:r>
            <w:r>
              <w:rPr>
                <w:spacing w:val="3"/>
              </w:rPr>
              <w:t>日历日内</w:t>
            </w:r>
            <w:r>
              <w:rPr>
                <w:spacing w:val="2"/>
              </w:rPr>
              <w:t>交货并安</w:t>
            </w:r>
            <w:r>
              <w:t xml:space="preserve"> </w:t>
            </w:r>
            <w:r>
              <w:rPr>
                <w:spacing w:val="2"/>
              </w:rPr>
              <w:t>装调试完毕，交付采购人验收。</w:t>
            </w:r>
          </w:p>
        </w:tc>
      </w:tr>
      <w:tr w14:paraId="23838909">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Merge w:val="continue"/>
            <w:tcBorders>
              <w:top w:val="nil"/>
              <w:bottom w:val="nil"/>
            </w:tcBorders>
            <w:vAlign w:val="top"/>
          </w:tcPr>
          <w:p w14:paraId="27334249">
            <w:pPr>
              <w:rPr>
                <w:rFonts w:ascii="Arial"/>
                <w:sz w:val="21"/>
              </w:rPr>
            </w:pPr>
          </w:p>
        </w:tc>
        <w:tc>
          <w:tcPr>
            <w:tcW w:w="1410" w:type="dxa"/>
            <w:vMerge w:val="continue"/>
            <w:tcBorders>
              <w:top w:val="nil"/>
              <w:bottom w:val="nil"/>
            </w:tcBorders>
            <w:vAlign w:val="top"/>
          </w:tcPr>
          <w:p w14:paraId="3EC1FA74">
            <w:pPr>
              <w:rPr>
                <w:rFonts w:ascii="Arial"/>
                <w:sz w:val="21"/>
              </w:rPr>
            </w:pPr>
          </w:p>
        </w:tc>
        <w:tc>
          <w:tcPr>
            <w:tcW w:w="8976" w:type="dxa"/>
            <w:vAlign w:val="top"/>
          </w:tcPr>
          <w:p w14:paraId="746A3F1D">
            <w:pPr>
              <w:pStyle w:val="5"/>
              <w:spacing w:before="72" w:line="178" w:lineRule="auto"/>
              <w:ind w:left="15" w:right="210" w:firstLine="21"/>
              <w:jc w:val="both"/>
            </w:pPr>
            <w:r>
              <w:rPr>
                <w:spacing w:val="5"/>
              </w:rPr>
              <w:t>1.2</w:t>
            </w:r>
            <w:r>
              <w:rPr>
                <w:spacing w:val="20"/>
              </w:rPr>
              <w:t xml:space="preserve"> </w:t>
            </w:r>
            <w:r>
              <w:rPr>
                <w:spacing w:val="5"/>
              </w:rPr>
              <w:t>中标人应提供设备的技术文件，包括但不</w:t>
            </w:r>
            <w:r>
              <w:rPr>
                <w:spacing w:val="4"/>
              </w:rPr>
              <w:t>限于设备配置清单、产品说明书、图纸、操</w:t>
            </w:r>
            <w:r>
              <w:t xml:space="preserve"> </w:t>
            </w:r>
            <w:r>
              <w:rPr>
                <w:spacing w:val="6"/>
              </w:rPr>
              <w:t>作手册、维护手册(含维修密码及接口数据)、质</w:t>
            </w:r>
            <w:r>
              <w:rPr>
                <w:spacing w:val="5"/>
              </w:rPr>
              <w:t>量保证文件、服务指南等，所有外文资料</w:t>
            </w:r>
            <w:r>
              <w:t xml:space="preserve"> </w:t>
            </w:r>
            <w:r>
              <w:rPr>
                <w:spacing w:val="4"/>
              </w:rPr>
              <w:t>须提供中文译本。文件应随货物一并交付至采购人指定地点。</w:t>
            </w:r>
          </w:p>
        </w:tc>
      </w:tr>
      <w:tr w14:paraId="2C3AEEB1">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Merge w:val="continue"/>
            <w:tcBorders>
              <w:top w:val="nil"/>
            </w:tcBorders>
            <w:vAlign w:val="top"/>
          </w:tcPr>
          <w:p w14:paraId="5C3DE4F8">
            <w:pPr>
              <w:rPr>
                <w:rFonts w:ascii="Arial"/>
                <w:sz w:val="21"/>
              </w:rPr>
            </w:pPr>
          </w:p>
        </w:tc>
        <w:tc>
          <w:tcPr>
            <w:tcW w:w="1410" w:type="dxa"/>
            <w:vMerge w:val="continue"/>
            <w:tcBorders>
              <w:top w:val="nil"/>
            </w:tcBorders>
            <w:vAlign w:val="top"/>
          </w:tcPr>
          <w:p w14:paraId="33F0F4A5">
            <w:pPr>
              <w:rPr>
                <w:rFonts w:ascii="Arial"/>
                <w:sz w:val="21"/>
              </w:rPr>
            </w:pPr>
          </w:p>
        </w:tc>
        <w:tc>
          <w:tcPr>
            <w:tcW w:w="8976" w:type="dxa"/>
            <w:vAlign w:val="top"/>
          </w:tcPr>
          <w:p w14:paraId="1F8EE68B">
            <w:pPr>
              <w:pStyle w:val="5"/>
              <w:spacing w:before="72" w:line="178" w:lineRule="auto"/>
              <w:ind w:left="16" w:right="144" w:firstLine="20"/>
              <w:jc w:val="both"/>
            </w:pPr>
            <w:r>
              <w:rPr>
                <w:spacing w:val="5"/>
              </w:rPr>
              <w:t>1.3 提供的货物必须为全新、经检验合格的产品。产品如需要计量检测的应提供</w:t>
            </w:r>
            <w:r>
              <w:rPr>
                <w:spacing w:val="4"/>
              </w:rPr>
              <w:t>相关计量</w:t>
            </w:r>
            <w:r>
              <w:t xml:space="preserve">  </w:t>
            </w:r>
            <w:r>
              <w:rPr>
                <w:spacing w:val="6"/>
              </w:rPr>
              <w:t>检定部门出具的合法检定报告。其中，进口设备必须具有报关证</w:t>
            </w:r>
            <w:r>
              <w:rPr>
                <w:spacing w:val="5"/>
              </w:rPr>
              <w:t>明文件、原产地证明和商</w:t>
            </w:r>
            <w:r>
              <w:t xml:space="preserve"> </w:t>
            </w:r>
            <w:r>
              <w:rPr>
                <w:spacing w:val="-1"/>
              </w:rPr>
              <w:t>检合格证明文件。</w:t>
            </w:r>
          </w:p>
        </w:tc>
      </w:tr>
      <w:tr w14:paraId="5FE43E9A">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625" w:hRule="atLeast"/>
        </w:trPr>
        <w:tc>
          <w:tcPr>
            <w:tcW w:w="571" w:type="dxa"/>
            <w:vMerge w:val="restart"/>
            <w:tcBorders>
              <w:bottom w:val="nil"/>
            </w:tcBorders>
            <w:vAlign w:val="top"/>
          </w:tcPr>
          <w:p w14:paraId="05A32956">
            <w:pPr>
              <w:spacing w:line="257" w:lineRule="auto"/>
              <w:rPr>
                <w:rFonts w:ascii="Arial"/>
                <w:sz w:val="21"/>
              </w:rPr>
            </w:pPr>
          </w:p>
          <w:p w14:paraId="371C7C62">
            <w:pPr>
              <w:spacing w:line="258" w:lineRule="auto"/>
              <w:rPr>
                <w:rFonts w:ascii="Arial"/>
                <w:sz w:val="21"/>
              </w:rPr>
            </w:pPr>
          </w:p>
          <w:p w14:paraId="506D5C26">
            <w:pPr>
              <w:spacing w:line="258" w:lineRule="auto"/>
              <w:rPr>
                <w:rFonts w:ascii="Arial"/>
                <w:sz w:val="21"/>
              </w:rPr>
            </w:pPr>
          </w:p>
          <w:p w14:paraId="681D29ED">
            <w:pPr>
              <w:spacing w:line="258" w:lineRule="auto"/>
              <w:rPr>
                <w:rFonts w:ascii="Arial"/>
                <w:sz w:val="21"/>
              </w:rPr>
            </w:pPr>
          </w:p>
          <w:p w14:paraId="61C8A257">
            <w:pPr>
              <w:spacing w:line="258" w:lineRule="auto"/>
              <w:rPr>
                <w:rFonts w:ascii="Arial"/>
                <w:sz w:val="21"/>
              </w:rPr>
            </w:pPr>
          </w:p>
          <w:p w14:paraId="155B579A">
            <w:pPr>
              <w:spacing w:line="258" w:lineRule="auto"/>
              <w:rPr>
                <w:rFonts w:ascii="Arial"/>
                <w:sz w:val="21"/>
              </w:rPr>
            </w:pPr>
          </w:p>
          <w:p w14:paraId="0B62D42A">
            <w:pPr>
              <w:spacing w:line="258" w:lineRule="auto"/>
              <w:rPr>
                <w:rFonts w:ascii="Arial"/>
                <w:sz w:val="21"/>
              </w:rPr>
            </w:pPr>
          </w:p>
          <w:p w14:paraId="505542EF">
            <w:pPr>
              <w:spacing w:line="258" w:lineRule="auto"/>
              <w:rPr>
                <w:rFonts w:ascii="Arial"/>
                <w:sz w:val="21"/>
              </w:rPr>
            </w:pPr>
          </w:p>
          <w:p w14:paraId="016A75DF">
            <w:pPr>
              <w:spacing w:line="258" w:lineRule="auto"/>
              <w:rPr>
                <w:rFonts w:ascii="Arial"/>
                <w:sz w:val="21"/>
              </w:rPr>
            </w:pPr>
          </w:p>
          <w:p w14:paraId="0D88FDC8">
            <w:pPr>
              <w:pStyle w:val="5"/>
              <w:spacing w:before="95" w:line="176" w:lineRule="auto"/>
              <w:ind w:left="31"/>
            </w:pPr>
            <w:r>
              <w:t>2</w:t>
            </w:r>
          </w:p>
        </w:tc>
        <w:tc>
          <w:tcPr>
            <w:tcW w:w="1410" w:type="dxa"/>
            <w:vMerge w:val="restart"/>
            <w:tcBorders>
              <w:bottom w:val="nil"/>
            </w:tcBorders>
            <w:vAlign w:val="top"/>
          </w:tcPr>
          <w:p w14:paraId="2DCFFF33">
            <w:pPr>
              <w:rPr>
                <w:rFonts w:ascii="Arial"/>
                <w:sz w:val="21"/>
              </w:rPr>
            </w:pPr>
          </w:p>
          <w:p w14:paraId="73CE600F">
            <w:pPr>
              <w:rPr>
                <w:rFonts w:ascii="Arial"/>
                <w:sz w:val="21"/>
              </w:rPr>
            </w:pPr>
          </w:p>
          <w:p w14:paraId="01319B2C">
            <w:pPr>
              <w:rPr>
                <w:rFonts w:ascii="Arial"/>
                <w:sz w:val="21"/>
              </w:rPr>
            </w:pPr>
          </w:p>
          <w:p w14:paraId="65A38BA8">
            <w:pPr>
              <w:rPr>
                <w:rFonts w:ascii="Arial"/>
                <w:sz w:val="21"/>
              </w:rPr>
            </w:pPr>
          </w:p>
          <w:p w14:paraId="27F80128">
            <w:pPr>
              <w:rPr>
                <w:rFonts w:ascii="Arial"/>
                <w:sz w:val="21"/>
              </w:rPr>
            </w:pPr>
          </w:p>
          <w:p w14:paraId="03C04751">
            <w:pPr>
              <w:spacing w:line="241" w:lineRule="auto"/>
              <w:rPr>
                <w:rFonts w:ascii="Arial"/>
                <w:sz w:val="21"/>
              </w:rPr>
            </w:pPr>
          </w:p>
          <w:p w14:paraId="669FEFD1">
            <w:pPr>
              <w:spacing w:line="241" w:lineRule="auto"/>
              <w:rPr>
                <w:rFonts w:ascii="Arial"/>
                <w:sz w:val="21"/>
              </w:rPr>
            </w:pPr>
          </w:p>
          <w:p w14:paraId="44DC0D34">
            <w:pPr>
              <w:spacing w:line="241" w:lineRule="auto"/>
              <w:rPr>
                <w:rFonts w:ascii="Arial"/>
                <w:sz w:val="21"/>
              </w:rPr>
            </w:pPr>
          </w:p>
          <w:p w14:paraId="2ECFA211">
            <w:pPr>
              <w:spacing w:line="241" w:lineRule="auto"/>
              <w:rPr>
                <w:rFonts w:ascii="Arial"/>
                <w:sz w:val="21"/>
              </w:rPr>
            </w:pPr>
          </w:p>
          <w:p w14:paraId="4C16B14F">
            <w:pPr>
              <w:pStyle w:val="5"/>
              <w:spacing w:before="94" w:line="188" w:lineRule="auto"/>
              <w:ind w:left="13" w:right="33" w:firstLine="2"/>
            </w:pPr>
            <w:r>
              <w:rPr>
                <w:spacing w:val="5"/>
              </w:rPr>
              <w:t>运输、安装和</w:t>
            </w:r>
            <w:r>
              <w:t xml:space="preserve"> </w:t>
            </w:r>
            <w:r>
              <w:rPr>
                <w:spacing w:val="5"/>
              </w:rPr>
              <w:t>验收</w:t>
            </w:r>
          </w:p>
        </w:tc>
        <w:tc>
          <w:tcPr>
            <w:tcW w:w="8976" w:type="dxa"/>
            <w:vAlign w:val="top"/>
          </w:tcPr>
          <w:p w14:paraId="655A7ACE">
            <w:pPr>
              <w:pStyle w:val="5"/>
              <w:spacing w:before="70" w:line="173" w:lineRule="auto"/>
              <w:ind w:left="16" w:right="258" w:firstLine="10"/>
            </w:pPr>
            <w:r>
              <w:rPr>
                <w:spacing w:val="4"/>
              </w:rPr>
              <w:t>2.1</w:t>
            </w:r>
            <w:r>
              <w:rPr>
                <w:spacing w:val="20"/>
                <w:w w:val="101"/>
              </w:rPr>
              <w:t xml:space="preserve"> </w:t>
            </w:r>
            <w:r>
              <w:rPr>
                <w:spacing w:val="4"/>
              </w:rPr>
              <w:t>中标人负责将货物安全无损运抵采购人指定地</w:t>
            </w:r>
            <w:r>
              <w:rPr>
                <w:spacing w:val="3"/>
              </w:rPr>
              <w:t>点，并承担设备的包装、运输、保险、</w:t>
            </w:r>
            <w:r>
              <w:t xml:space="preserve"> </w:t>
            </w:r>
            <w:r>
              <w:rPr>
                <w:spacing w:val="4"/>
              </w:rPr>
              <w:t>装卸、安装调试、培训、商检及计量检测、关税、增值税和进口代理等费用。</w:t>
            </w:r>
          </w:p>
        </w:tc>
      </w:tr>
      <w:tr w14:paraId="4CCBA1D0">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1218" w:hRule="atLeast"/>
        </w:trPr>
        <w:tc>
          <w:tcPr>
            <w:tcW w:w="571" w:type="dxa"/>
            <w:vMerge w:val="continue"/>
            <w:tcBorders>
              <w:top w:val="nil"/>
              <w:bottom w:val="nil"/>
            </w:tcBorders>
            <w:vAlign w:val="top"/>
          </w:tcPr>
          <w:p w14:paraId="60B5939F">
            <w:pPr>
              <w:rPr>
                <w:rFonts w:ascii="Arial"/>
                <w:sz w:val="21"/>
              </w:rPr>
            </w:pPr>
          </w:p>
        </w:tc>
        <w:tc>
          <w:tcPr>
            <w:tcW w:w="1410" w:type="dxa"/>
            <w:vMerge w:val="continue"/>
            <w:tcBorders>
              <w:top w:val="nil"/>
              <w:bottom w:val="nil"/>
            </w:tcBorders>
            <w:vAlign w:val="top"/>
          </w:tcPr>
          <w:p w14:paraId="5724185F">
            <w:pPr>
              <w:rPr>
                <w:rFonts w:ascii="Arial"/>
                <w:sz w:val="21"/>
              </w:rPr>
            </w:pPr>
          </w:p>
        </w:tc>
        <w:tc>
          <w:tcPr>
            <w:tcW w:w="8976" w:type="dxa"/>
            <w:vAlign w:val="top"/>
          </w:tcPr>
          <w:p w14:paraId="047DA3D6">
            <w:pPr>
              <w:pStyle w:val="5"/>
              <w:spacing w:before="69" w:line="181" w:lineRule="auto"/>
              <w:ind w:left="16" w:right="135" w:firstLine="9"/>
              <w:jc w:val="both"/>
            </w:pPr>
            <w:r>
              <w:rPr>
                <w:spacing w:val="5"/>
              </w:rPr>
              <w:t>2.2 采购人在必要时有权要求中标人提供设备相关的第三方检验检测报告。如果发现所交</w:t>
            </w:r>
            <w:r>
              <w:rPr>
                <w:spacing w:val="3"/>
              </w:rPr>
              <w:t xml:space="preserve">  </w:t>
            </w:r>
            <w:r>
              <w:rPr>
                <w:spacing w:val="6"/>
              </w:rPr>
              <w:t>货物与投标文件中所承诺的不符或存在质量、技术缺陷等，采购人可以拒绝接收该货</w:t>
            </w:r>
            <w:r>
              <w:rPr>
                <w:spacing w:val="5"/>
              </w:rPr>
              <w:t>物，</w:t>
            </w:r>
            <w:r>
              <w:t xml:space="preserve"> </w:t>
            </w:r>
            <w:r>
              <w:rPr>
                <w:spacing w:val="6"/>
              </w:rPr>
              <w:t>投标人应采取补足、更换或退货等措施，以满足规格的要求，由</w:t>
            </w:r>
            <w:r>
              <w:rPr>
                <w:spacing w:val="5"/>
              </w:rPr>
              <w:t>此发生的一切损失和费用</w:t>
            </w:r>
            <w:r>
              <w:t xml:space="preserve"> </w:t>
            </w:r>
            <w:r>
              <w:rPr>
                <w:spacing w:val="-2"/>
              </w:rPr>
              <w:t>由中标人承担。</w:t>
            </w:r>
          </w:p>
        </w:tc>
      </w:tr>
      <w:tr w14:paraId="70FDF933">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Merge w:val="continue"/>
            <w:tcBorders>
              <w:top w:val="nil"/>
              <w:bottom w:val="nil"/>
            </w:tcBorders>
            <w:vAlign w:val="top"/>
          </w:tcPr>
          <w:p w14:paraId="67F24A0A">
            <w:pPr>
              <w:rPr>
                <w:rFonts w:ascii="Arial"/>
                <w:sz w:val="21"/>
              </w:rPr>
            </w:pPr>
          </w:p>
        </w:tc>
        <w:tc>
          <w:tcPr>
            <w:tcW w:w="1410" w:type="dxa"/>
            <w:vMerge w:val="continue"/>
            <w:tcBorders>
              <w:top w:val="nil"/>
              <w:bottom w:val="nil"/>
            </w:tcBorders>
            <w:vAlign w:val="top"/>
          </w:tcPr>
          <w:p w14:paraId="468802C7">
            <w:pPr>
              <w:rPr>
                <w:rFonts w:ascii="Arial"/>
                <w:sz w:val="21"/>
              </w:rPr>
            </w:pPr>
          </w:p>
        </w:tc>
        <w:tc>
          <w:tcPr>
            <w:tcW w:w="8976" w:type="dxa"/>
            <w:vAlign w:val="top"/>
          </w:tcPr>
          <w:p w14:paraId="75FD1ACD">
            <w:pPr>
              <w:pStyle w:val="5"/>
              <w:spacing w:before="72" w:line="178" w:lineRule="auto"/>
              <w:ind w:left="16" w:right="144" w:firstLine="9"/>
            </w:pPr>
            <w:r>
              <w:rPr>
                <w:spacing w:val="5"/>
              </w:rPr>
              <w:t>2.3</w:t>
            </w:r>
            <w:r>
              <w:rPr>
                <w:spacing w:val="20"/>
              </w:rPr>
              <w:t xml:space="preserve"> </w:t>
            </w:r>
            <w:r>
              <w:rPr>
                <w:spacing w:val="5"/>
              </w:rPr>
              <w:t>中标人与采购人设备验收人员共同确认安装条件符合相关技术要求后方可发出货物，</w:t>
            </w:r>
            <w:r>
              <w:t xml:space="preserve">  </w:t>
            </w:r>
            <w:r>
              <w:rPr>
                <w:spacing w:val="6"/>
              </w:rPr>
              <w:t>中标人负责货物的现场安装和调试，提供货物安装、调试和维修</w:t>
            </w:r>
            <w:r>
              <w:rPr>
                <w:spacing w:val="5"/>
              </w:rPr>
              <w:t>所需的专用工具和辅助材</w:t>
            </w:r>
            <w:r>
              <w:t xml:space="preserve"> </w:t>
            </w:r>
            <w:r>
              <w:rPr>
                <w:spacing w:val="4"/>
              </w:rPr>
              <w:t>料。中标人应在货物运至指定地点后一周内开始安装</w:t>
            </w:r>
            <w:r>
              <w:rPr>
                <w:spacing w:val="3"/>
              </w:rPr>
              <w:t>调试。</w:t>
            </w:r>
          </w:p>
        </w:tc>
      </w:tr>
      <w:tr w14:paraId="0A95E89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Merge w:val="continue"/>
            <w:tcBorders>
              <w:top w:val="nil"/>
              <w:bottom w:val="nil"/>
            </w:tcBorders>
            <w:vAlign w:val="top"/>
          </w:tcPr>
          <w:p w14:paraId="117C51E7">
            <w:pPr>
              <w:rPr>
                <w:rFonts w:ascii="Arial"/>
                <w:sz w:val="21"/>
              </w:rPr>
            </w:pPr>
          </w:p>
        </w:tc>
        <w:tc>
          <w:tcPr>
            <w:tcW w:w="1410" w:type="dxa"/>
            <w:vMerge w:val="continue"/>
            <w:tcBorders>
              <w:top w:val="nil"/>
              <w:bottom w:val="nil"/>
            </w:tcBorders>
            <w:vAlign w:val="top"/>
          </w:tcPr>
          <w:p w14:paraId="4A1537F4">
            <w:pPr>
              <w:rPr>
                <w:rFonts w:ascii="Arial"/>
                <w:sz w:val="21"/>
              </w:rPr>
            </w:pPr>
          </w:p>
        </w:tc>
        <w:tc>
          <w:tcPr>
            <w:tcW w:w="8976" w:type="dxa"/>
            <w:vAlign w:val="top"/>
          </w:tcPr>
          <w:p w14:paraId="4B9A9C38">
            <w:pPr>
              <w:pStyle w:val="5"/>
              <w:spacing w:before="67" w:line="179" w:lineRule="auto"/>
              <w:ind w:left="14" w:right="144" w:firstLine="11"/>
              <w:jc w:val="both"/>
            </w:pPr>
            <w:r>
              <w:rPr>
                <w:spacing w:val="5"/>
              </w:rPr>
              <w:t>2.4</w:t>
            </w:r>
            <w:r>
              <w:rPr>
                <w:spacing w:val="24"/>
              </w:rPr>
              <w:t xml:space="preserve"> </w:t>
            </w:r>
            <w:r>
              <w:rPr>
                <w:spacing w:val="5"/>
              </w:rPr>
              <w:t>由中标人代表和采购人组成验收小组对产品进行验收。</w:t>
            </w:r>
            <w:r>
              <w:rPr>
                <w:spacing w:val="4"/>
              </w:rPr>
              <w:t>验收标准按照国家规定标准执</w:t>
            </w:r>
            <w:r>
              <w:t xml:space="preserve">  </w:t>
            </w:r>
            <w:r>
              <w:rPr>
                <w:spacing w:val="6"/>
              </w:rPr>
              <w:t>行。经检验设备正常运作后签署验收报告，产品保修期自验收合格（</w:t>
            </w:r>
            <w:r>
              <w:rPr>
                <w:spacing w:val="5"/>
              </w:rPr>
              <w:t>原则上以“采购人完</w:t>
            </w:r>
            <w:r>
              <w:t xml:space="preserve"> </w:t>
            </w:r>
            <w:r>
              <w:rPr>
                <w:spacing w:val="1"/>
              </w:rPr>
              <w:t>成入库”为准）之日起算。</w:t>
            </w:r>
          </w:p>
        </w:tc>
      </w:tr>
      <w:tr w14:paraId="6404CE56">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625" w:hRule="atLeast"/>
        </w:trPr>
        <w:tc>
          <w:tcPr>
            <w:tcW w:w="571" w:type="dxa"/>
            <w:vMerge w:val="continue"/>
            <w:tcBorders>
              <w:top w:val="nil"/>
              <w:bottom w:val="nil"/>
            </w:tcBorders>
            <w:vAlign w:val="top"/>
          </w:tcPr>
          <w:p w14:paraId="55048DE2">
            <w:pPr>
              <w:rPr>
                <w:rFonts w:ascii="Arial"/>
                <w:sz w:val="21"/>
              </w:rPr>
            </w:pPr>
          </w:p>
        </w:tc>
        <w:tc>
          <w:tcPr>
            <w:tcW w:w="1410" w:type="dxa"/>
            <w:vMerge w:val="continue"/>
            <w:tcBorders>
              <w:top w:val="nil"/>
              <w:bottom w:val="nil"/>
            </w:tcBorders>
            <w:vAlign w:val="top"/>
          </w:tcPr>
          <w:p w14:paraId="52EDF37B">
            <w:pPr>
              <w:rPr>
                <w:rFonts w:ascii="Arial"/>
                <w:sz w:val="21"/>
              </w:rPr>
            </w:pPr>
          </w:p>
        </w:tc>
        <w:tc>
          <w:tcPr>
            <w:tcW w:w="8976" w:type="dxa"/>
            <w:vAlign w:val="top"/>
          </w:tcPr>
          <w:p w14:paraId="246D53EB">
            <w:pPr>
              <w:pStyle w:val="5"/>
              <w:spacing w:before="67" w:line="174" w:lineRule="auto"/>
              <w:ind w:left="16" w:right="210" w:firstLine="9"/>
            </w:pPr>
            <w:r>
              <w:rPr>
                <w:spacing w:val="5"/>
              </w:rPr>
              <w:t>2.5 设备安装过程中不得损坏安装场地内已有设备、器具和装修等物品，如有损坏，中标</w:t>
            </w:r>
            <w:r>
              <w:rPr>
                <w:spacing w:val="6"/>
              </w:rPr>
              <w:t xml:space="preserve"> </w:t>
            </w:r>
            <w:r>
              <w:rPr>
                <w:spacing w:val="4"/>
              </w:rPr>
              <w:t>人应无条件恢复原状，针对无法修复的中标人应当赔偿采购人的损失。</w:t>
            </w:r>
          </w:p>
        </w:tc>
      </w:tr>
      <w:tr w14:paraId="15E8A41D">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29" w:hRule="atLeast"/>
        </w:trPr>
        <w:tc>
          <w:tcPr>
            <w:tcW w:w="571" w:type="dxa"/>
            <w:vMerge w:val="continue"/>
            <w:tcBorders>
              <w:top w:val="nil"/>
              <w:bottom w:val="nil"/>
            </w:tcBorders>
            <w:vAlign w:val="top"/>
          </w:tcPr>
          <w:p w14:paraId="143C67AD">
            <w:pPr>
              <w:rPr>
                <w:rFonts w:ascii="Arial"/>
                <w:sz w:val="21"/>
              </w:rPr>
            </w:pPr>
          </w:p>
        </w:tc>
        <w:tc>
          <w:tcPr>
            <w:tcW w:w="1410" w:type="dxa"/>
            <w:vMerge w:val="continue"/>
            <w:tcBorders>
              <w:top w:val="nil"/>
              <w:bottom w:val="nil"/>
            </w:tcBorders>
            <w:vAlign w:val="top"/>
          </w:tcPr>
          <w:p w14:paraId="05BE9FF8">
            <w:pPr>
              <w:rPr>
                <w:rFonts w:ascii="Arial"/>
                <w:sz w:val="21"/>
              </w:rPr>
            </w:pPr>
          </w:p>
        </w:tc>
        <w:tc>
          <w:tcPr>
            <w:tcW w:w="8976" w:type="dxa"/>
            <w:vAlign w:val="top"/>
          </w:tcPr>
          <w:p w14:paraId="4530238D">
            <w:pPr>
              <w:pStyle w:val="5"/>
              <w:spacing w:before="68" w:line="159" w:lineRule="auto"/>
              <w:ind w:left="26"/>
            </w:pPr>
            <w:r>
              <w:rPr>
                <w:spacing w:val="2"/>
              </w:rPr>
              <w:t>2.6</w:t>
            </w:r>
            <w:r>
              <w:rPr>
                <w:spacing w:val="22"/>
              </w:rPr>
              <w:t xml:space="preserve"> </w:t>
            </w:r>
            <w:r>
              <w:rPr>
                <w:spacing w:val="2"/>
              </w:rPr>
              <w:t>医疗设备的包装箱使用后由中标人负责处</w:t>
            </w:r>
            <w:r>
              <w:rPr>
                <w:spacing w:val="1"/>
              </w:rPr>
              <w:t>理。</w:t>
            </w:r>
          </w:p>
        </w:tc>
      </w:tr>
      <w:tr w14:paraId="41977B04">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29" w:hRule="atLeast"/>
        </w:trPr>
        <w:tc>
          <w:tcPr>
            <w:tcW w:w="571" w:type="dxa"/>
            <w:vMerge w:val="continue"/>
            <w:tcBorders>
              <w:top w:val="nil"/>
            </w:tcBorders>
            <w:vAlign w:val="top"/>
          </w:tcPr>
          <w:p w14:paraId="56868492">
            <w:pPr>
              <w:rPr>
                <w:rFonts w:ascii="Arial"/>
                <w:sz w:val="21"/>
              </w:rPr>
            </w:pPr>
          </w:p>
        </w:tc>
        <w:tc>
          <w:tcPr>
            <w:tcW w:w="1410" w:type="dxa"/>
            <w:vMerge w:val="continue"/>
            <w:tcBorders>
              <w:top w:val="nil"/>
            </w:tcBorders>
            <w:vAlign w:val="top"/>
          </w:tcPr>
          <w:p w14:paraId="27E49356">
            <w:pPr>
              <w:rPr>
                <w:rFonts w:ascii="Arial"/>
                <w:sz w:val="21"/>
              </w:rPr>
            </w:pPr>
          </w:p>
        </w:tc>
        <w:tc>
          <w:tcPr>
            <w:tcW w:w="8976" w:type="dxa"/>
            <w:vAlign w:val="top"/>
          </w:tcPr>
          <w:p w14:paraId="3BBF335D">
            <w:pPr>
              <w:pStyle w:val="5"/>
              <w:spacing w:before="70" w:line="158" w:lineRule="auto"/>
              <w:ind w:left="26"/>
            </w:pPr>
            <w:r>
              <w:rPr>
                <w:spacing w:val="4"/>
              </w:rPr>
              <w:t>2.7 废气排放、排污等接口须无条件改造为符</w:t>
            </w:r>
            <w:r>
              <w:rPr>
                <w:spacing w:val="3"/>
              </w:rPr>
              <w:t>合采购人现有标准和制式。</w:t>
            </w:r>
          </w:p>
        </w:tc>
      </w:tr>
      <w:tr w14:paraId="0C109C42">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Align w:val="top"/>
          </w:tcPr>
          <w:p w14:paraId="36E51B15">
            <w:pPr>
              <w:spacing w:line="286" w:lineRule="auto"/>
              <w:rPr>
                <w:rFonts w:ascii="Arial"/>
                <w:sz w:val="21"/>
              </w:rPr>
            </w:pPr>
          </w:p>
          <w:p w14:paraId="27B282BA">
            <w:pPr>
              <w:pStyle w:val="5"/>
              <w:spacing w:before="94" w:line="176" w:lineRule="auto"/>
              <w:ind w:left="34"/>
            </w:pPr>
            <w:r>
              <w:t>3</w:t>
            </w:r>
          </w:p>
        </w:tc>
        <w:tc>
          <w:tcPr>
            <w:tcW w:w="1410" w:type="dxa"/>
            <w:vAlign w:val="top"/>
          </w:tcPr>
          <w:p w14:paraId="6AD70451">
            <w:pPr>
              <w:spacing w:line="269" w:lineRule="auto"/>
              <w:rPr>
                <w:rFonts w:ascii="Arial"/>
                <w:sz w:val="21"/>
              </w:rPr>
            </w:pPr>
          </w:p>
          <w:p w14:paraId="792876C7">
            <w:pPr>
              <w:pStyle w:val="5"/>
              <w:spacing w:before="95" w:line="187" w:lineRule="auto"/>
              <w:ind w:left="14"/>
            </w:pPr>
            <w:r>
              <w:rPr>
                <w:spacing w:val="4"/>
              </w:rPr>
              <w:t>培训</w:t>
            </w:r>
          </w:p>
        </w:tc>
        <w:tc>
          <w:tcPr>
            <w:tcW w:w="8976" w:type="dxa"/>
            <w:vAlign w:val="top"/>
          </w:tcPr>
          <w:p w14:paraId="3C0AC486">
            <w:pPr>
              <w:pStyle w:val="5"/>
              <w:spacing w:before="67" w:line="179" w:lineRule="auto"/>
              <w:ind w:left="14" w:right="210" w:firstLine="14"/>
            </w:pPr>
            <w:r>
              <w:rPr>
                <w:spacing w:val="5"/>
              </w:rPr>
              <w:t>3.1</w:t>
            </w:r>
            <w:r>
              <w:rPr>
                <w:spacing w:val="20"/>
                <w:w w:val="101"/>
              </w:rPr>
              <w:t xml:space="preserve"> </w:t>
            </w:r>
            <w:r>
              <w:rPr>
                <w:spacing w:val="5"/>
              </w:rPr>
              <w:t>中标人应派专业技术人员免费对采购人指定人员进行定期</w:t>
            </w:r>
            <w:r>
              <w:rPr>
                <w:spacing w:val="4"/>
              </w:rPr>
              <w:t>培训及指导，直至其完全掌</w:t>
            </w:r>
            <w:r>
              <w:t xml:space="preserve"> </w:t>
            </w:r>
            <w:r>
              <w:rPr>
                <w:spacing w:val="6"/>
              </w:rPr>
              <w:t>握设备的基本故障处理技术。中标人责成设备生产商提供标准化操</w:t>
            </w:r>
            <w:r>
              <w:rPr>
                <w:spacing w:val="5"/>
              </w:rPr>
              <w:t>作流程、日常保养流</w:t>
            </w:r>
            <w:r>
              <w:t xml:space="preserve">   </w:t>
            </w:r>
            <w:r>
              <w:rPr>
                <w:spacing w:val="4"/>
              </w:rPr>
              <w:t>程、质控流程、</w:t>
            </w:r>
            <w:r>
              <w:t>PPT</w:t>
            </w:r>
            <w:r>
              <w:rPr>
                <w:spacing w:val="4"/>
              </w:rPr>
              <w:t>版本操作教程及操作视频、电子说明书等。</w:t>
            </w:r>
          </w:p>
        </w:tc>
      </w:tr>
      <w:tr w14:paraId="32C6E624">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1514" w:hRule="atLeast"/>
        </w:trPr>
        <w:tc>
          <w:tcPr>
            <w:tcW w:w="571" w:type="dxa"/>
            <w:vMerge w:val="restart"/>
            <w:tcBorders>
              <w:bottom w:val="nil"/>
            </w:tcBorders>
            <w:vAlign w:val="top"/>
          </w:tcPr>
          <w:p w14:paraId="7D6939D7">
            <w:pPr>
              <w:spacing w:line="261" w:lineRule="auto"/>
              <w:rPr>
                <w:rFonts w:ascii="Arial"/>
                <w:sz w:val="21"/>
              </w:rPr>
            </w:pPr>
          </w:p>
          <w:p w14:paraId="76ECA508">
            <w:pPr>
              <w:spacing w:line="261" w:lineRule="auto"/>
              <w:rPr>
                <w:rFonts w:ascii="Arial"/>
                <w:sz w:val="21"/>
              </w:rPr>
            </w:pPr>
          </w:p>
          <w:p w14:paraId="14E972A7">
            <w:pPr>
              <w:spacing w:line="262" w:lineRule="auto"/>
              <w:rPr>
                <w:rFonts w:ascii="Arial"/>
                <w:sz w:val="21"/>
              </w:rPr>
            </w:pPr>
          </w:p>
          <w:p w14:paraId="7B5B513D">
            <w:pPr>
              <w:spacing w:line="262" w:lineRule="auto"/>
              <w:rPr>
                <w:rFonts w:ascii="Arial"/>
                <w:sz w:val="21"/>
              </w:rPr>
            </w:pPr>
          </w:p>
          <w:p w14:paraId="68A0BCA7">
            <w:pPr>
              <w:pStyle w:val="5"/>
              <w:spacing w:before="95" w:line="174" w:lineRule="auto"/>
              <w:ind w:left="20"/>
            </w:pPr>
            <w:r>
              <w:rPr>
                <w:spacing w:val="1"/>
              </w:rPr>
              <w:t>4</w:t>
            </w:r>
          </w:p>
        </w:tc>
        <w:tc>
          <w:tcPr>
            <w:tcW w:w="1410" w:type="dxa"/>
            <w:vMerge w:val="restart"/>
            <w:tcBorders>
              <w:bottom w:val="nil"/>
            </w:tcBorders>
            <w:vAlign w:val="top"/>
          </w:tcPr>
          <w:p w14:paraId="25F1DA88">
            <w:pPr>
              <w:spacing w:line="256" w:lineRule="auto"/>
              <w:rPr>
                <w:rFonts w:ascii="Arial"/>
                <w:sz w:val="21"/>
              </w:rPr>
            </w:pPr>
          </w:p>
          <w:p w14:paraId="39C7A1D3">
            <w:pPr>
              <w:spacing w:line="256" w:lineRule="auto"/>
              <w:rPr>
                <w:rFonts w:ascii="Arial"/>
                <w:sz w:val="21"/>
              </w:rPr>
            </w:pPr>
          </w:p>
          <w:p w14:paraId="1EBA4B6A">
            <w:pPr>
              <w:spacing w:line="257" w:lineRule="auto"/>
              <w:rPr>
                <w:rFonts w:ascii="Arial"/>
                <w:sz w:val="21"/>
              </w:rPr>
            </w:pPr>
          </w:p>
          <w:p w14:paraId="3A8919D0">
            <w:pPr>
              <w:spacing w:line="257" w:lineRule="auto"/>
              <w:rPr>
                <w:rFonts w:ascii="Arial"/>
                <w:sz w:val="21"/>
              </w:rPr>
            </w:pPr>
          </w:p>
          <w:p w14:paraId="6BCBB6BF">
            <w:pPr>
              <w:pStyle w:val="5"/>
              <w:spacing w:before="95" w:line="187" w:lineRule="auto"/>
              <w:ind w:left="12"/>
            </w:pPr>
            <w:r>
              <w:rPr>
                <w:spacing w:val="5"/>
              </w:rPr>
              <w:t>知识产权</w:t>
            </w:r>
          </w:p>
        </w:tc>
        <w:tc>
          <w:tcPr>
            <w:tcW w:w="8976" w:type="dxa"/>
            <w:vAlign w:val="top"/>
          </w:tcPr>
          <w:p w14:paraId="189FF953">
            <w:pPr>
              <w:pStyle w:val="5"/>
              <w:spacing w:before="64" w:line="183" w:lineRule="auto"/>
              <w:ind w:left="15" w:right="144"/>
              <w:jc w:val="both"/>
            </w:pPr>
            <w:r>
              <w:rPr>
                <w:spacing w:val="5"/>
              </w:rPr>
              <w:t>4.1</w:t>
            </w:r>
            <w:r>
              <w:rPr>
                <w:spacing w:val="22"/>
                <w:w w:val="101"/>
              </w:rPr>
              <w:t xml:space="preserve"> </w:t>
            </w:r>
            <w:r>
              <w:rPr>
                <w:spacing w:val="5"/>
              </w:rPr>
              <w:t>中标人应保证采购人在使用该设备或其任何一部分时，免受第三方提出的侵犯其专利</w:t>
            </w:r>
            <w:r>
              <w:t xml:space="preserve">  </w:t>
            </w:r>
            <w:r>
              <w:rPr>
                <w:spacing w:val="6"/>
              </w:rPr>
              <w:t>权、商标权、著作权或其它知识产权的起诉。中标人保证所提供软</w:t>
            </w:r>
            <w:r>
              <w:rPr>
                <w:spacing w:val="5"/>
              </w:rPr>
              <w:t>件的合法性，所发生的</w:t>
            </w:r>
            <w:r>
              <w:t xml:space="preserve"> </w:t>
            </w:r>
            <w:r>
              <w:rPr>
                <w:spacing w:val="6"/>
              </w:rPr>
              <w:t>任何知识产权纠纷与采购人无关。若因为知识产权纠纷造成的一切</w:t>
            </w:r>
            <w:r>
              <w:rPr>
                <w:spacing w:val="5"/>
              </w:rPr>
              <w:t>损害赔偿及损失由投标</w:t>
            </w:r>
            <w:r>
              <w:t xml:space="preserve"> </w:t>
            </w:r>
            <w:r>
              <w:rPr>
                <w:spacing w:val="6"/>
              </w:rPr>
              <w:t>人承担，包括但不限于实际损失、预期损失和对方要求赔偿损失及</w:t>
            </w:r>
            <w:r>
              <w:rPr>
                <w:spacing w:val="5"/>
              </w:rPr>
              <w:t>支出的律师费、交通费</w:t>
            </w:r>
            <w:r>
              <w:t xml:space="preserve"> </w:t>
            </w:r>
            <w:r>
              <w:rPr>
                <w:spacing w:val="-2"/>
              </w:rPr>
              <w:t>和差旅费等。</w:t>
            </w:r>
          </w:p>
        </w:tc>
      </w:tr>
      <w:tr w14:paraId="46848736">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9" w:hRule="atLeast"/>
        </w:trPr>
        <w:tc>
          <w:tcPr>
            <w:tcW w:w="571" w:type="dxa"/>
            <w:vMerge w:val="continue"/>
            <w:tcBorders>
              <w:top w:val="nil"/>
            </w:tcBorders>
            <w:vAlign w:val="top"/>
          </w:tcPr>
          <w:p w14:paraId="72002DE7">
            <w:pPr>
              <w:rPr>
                <w:rFonts w:ascii="Arial"/>
                <w:sz w:val="21"/>
              </w:rPr>
            </w:pPr>
          </w:p>
        </w:tc>
        <w:tc>
          <w:tcPr>
            <w:tcW w:w="1410" w:type="dxa"/>
            <w:vMerge w:val="continue"/>
            <w:tcBorders>
              <w:top w:val="nil"/>
            </w:tcBorders>
            <w:vAlign w:val="top"/>
          </w:tcPr>
          <w:p w14:paraId="5448FBD7">
            <w:pPr>
              <w:rPr>
                <w:rFonts w:ascii="Arial"/>
                <w:sz w:val="21"/>
              </w:rPr>
            </w:pPr>
          </w:p>
        </w:tc>
        <w:tc>
          <w:tcPr>
            <w:tcW w:w="8976" w:type="dxa"/>
            <w:vAlign w:val="top"/>
          </w:tcPr>
          <w:p w14:paraId="4DA51E8C">
            <w:pPr>
              <w:pStyle w:val="5"/>
              <w:spacing w:before="69" w:line="180" w:lineRule="auto"/>
              <w:ind w:left="14" w:right="144"/>
              <w:jc w:val="both"/>
            </w:pPr>
            <w:r>
              <w:rPr>
                <w:spacing w:val="5"/>
              </w:rPr>
              <w:t>4.2 采购人购买设备后，有权对该设备与其他设备进行配套、整合或适当改进，而免受侵</w:t>
            </w:r>
            <w:r>
              <w:rPr>
                <w:spacing w:val="8"/>
              </w:rPr>
              <w:t xml:space="preserve">  </w:t>
            </w:r>
            <w:r>
              <w:rPr>
                <w:spacing w:val="6"/>
              </w:rPr>
              <w:t>犯专利权的起诉。若因为知识产权纠纷造成的一切损害赔偿及损失由</w:t>
            </w:r>
            <w:r>
              <w:rPr>
                <w:spacing w:val="5"/>
              </w:rPr>
              <w:t>投标人承担，包括但</w:t>
            </w:r>
            <w:r>
              <w:t xml:space="preserve"> </w:t>
            </w:r>
            <w:r>
              <w:rPr>
                <w:spacing w:val="5"/>
              </w:rPr>
              <w:t>不限于实际损失、预期损失和对方要求赔偿损失</w:t>
            </w:r>
            <w:r>
              <w:rPr>
                <w:spacing w:val="4"/>
              </w:rPr>
              <w:t>及支出的律师费、交通费和差旅费等。</w:t>
            </w:r>
          </w:p>
        </w:tc>
      </w:tr>
    </w:tbl>
    <w:p w14:paraId="0430C889">
      <w:pPr>
        <w:rPr>
          <w:rFonts w:ascii="Arial"/>
          <w:sz w:val="21"/>
        </w:rPr>
      </w:pPr>
      <w:r>
        <w:pict>
          <v:rect id="_x0000_s1027" o:spid="_x0000_s1027" o:spt="1" style="position:absolute;left:0pt;margin-left:0pt;margin-top:21.5pt;height:0.4pt;width:549.1pt;z-index:251660288;mso-width-relative:page;mso-height-relative:page;" fillcolor="#CCCCCC" filled="t" stroked="f" coordsize="21600,21600">
            <v:path/>
            <v:fill on="t" focussize="0,0"/>
            <v:stroke on="f"/>
            <v:imagedata o:title=""/>
            <o:lock v:ext="edit"/>
          </v:rect>
        </w:pict>
      </w:r>
    </w:p>
    <w:p w14:paraId="21B5E317">
      <w:pPr>
        <w:rPr>
          <w:rFonts w:ascii="Arial" w:hAnsi="Arial" w:eastAsia="Arial" w:cs="Arial"/>
          <w:sz w:val="21"/>
          <w:szCs w:val="21"/>
        </w:rPr>
        <w:sectPr>
          <w:headerReference r:id="rId5" w:type="default"/>
          <w:pgSz w:w="12240" w:h="15840"/>
          <w:pgMar w:top="1" w:right="632" w:bottom="0" w:left="625" w:header="0" w:footer="0" w:gutter="0"/>
          <w:cols w:space="720" w:num="1"/>
        </w:sectPr>
      </w:pPr>
    </w:p>
    <w:tbl>
      <w:tblPr>
        <w:tblStyle w:val="4"/>
        <w:tblW w:w="10957" w:type="dxa"/>
        <w:tblInd w:w="5"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top w:w="0" w:type="dxa"/>
          <w:left w:w="0" w:type="dxa"/>
          <w:bottom w:w="0" w:type="dxa"/>
          <w:right w:w="0" w:type="dxa"/>
        </w:tblCellMar>
      </w:tblPr>
      <w:tblGrid>
        <w:gridCol w:w="571"/>
        <w:gridCol w:w="1410"/>
        <w:gridCol w:w="8976"/>
      </w:tblGrid>
      <w:tr w14:paraId="106534D2">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36" w:hRule="atLeast"/>
        </w:trPr>
        <w:tc>
          <w:tcPr>
            <w:tcW w:w="571" w:type="dxa"/>
            <w:vAlign w:val="top"/>
          </w:tcPr>
          <w:p w14:paraId="00401BA0">
            <w:pPr>
              <w:pStyle w:val="5"/>
              <w:spacing w:before="66" w:line="165" w:lineRule="auto"/>
              <w:ind w:left="56"/>
            </w:pPr>
            <w:r>
              <w:rPr>
                <w:b/>
                <w:bCs/>
                <w:spacing w:val="4"/>
              </w:rPr>
              <w:t>序号</w:t>
            </w:r>
          </w:p>
        </w:tc>
        <w:tc>
          <w:tcPr>
            <w:tcW w:w="1410" w:type="dxa"/>
            <w:vAlign w:val="top"/>
          </w:tcPr>
          <w:p w14:paraId="5C4445EB">
            <w:pPr>
              <w:pStyle w:val="5"/>
              <w:spacing w:before="75" w:line="159" w:lineRule="auto"/>
              <w:ind w:left="496"/>
            </w:pPr>
            <w:r>
              <w:rPr>
                <w:b/>
                <w:bCs/>
                <w:spacing w:val="-4"/>
              </w:rPr>
              <w:t>目录</w:t>
            </w:r>
          </w:p>
        </w:tc>
        <w:tc>
          <w:tcPr>
            <w:tcW w:w="8976" w:type="dxa"/>
            <w:vAlign w:val="top"/>
          </w:tcPr>
          <w:p w14:paraId="30C0EEFA">
            <w:pPr>
              <w:pStyle w:val="5"/>
              <w:spacing w:before="66" w:line="165" w:lineRule="auto"/>
              <w:ind w:left="4037"/>
            </w:pPr>
            <w:r>
              <w:rPr>
                <w:b/>
                <w:bCs/>
                <w:spacing w:val="3"/>
              </w:rPr>
              <w:t>商务要求</w:t>
            </w:r>
          </w:p>
        </w:tc>
      </w:tr>
      <w:tr w14:paraId="6D477C73">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625" w:hRule="atLeast"/>
        </w:trPr>
        <w:tc>
          <w:tcPr>
            <w:tcW w:w="571" w:type="dxa"/>
            <w:vMerge w:val="restart"/>
            <w:tcBorders>
              <w:bottom w:val="nil"/>
            </w:tcBorders>
            <w:vAlign w:val="top"/>
          </w:tcPr>
          <w:p w14:paraId="0B7104A6">
            <w:pPr>
              <w:spacing w:line="307" w:lineRule="auto"/>
              <w:rPr>
                <w:rFonts w:ascii="Arial"/>
                <w:sz w:val="21"/>
              </w:rPr>
            </w:pPr>
          </w:p>
          <w:p w14:paraId="4C881374">
            <w:pPr>
              <w:spacing w:line="308" w:lineRule="auto"/>
              <w:rPr>
                <w:rFonts w:ascii="Arial"/>
                <w:sz w:val="21"/>
              </w:rPr>
            </w:pPr>
          </w:p>
          <w:p w14:paraId="590BD387">
            <w:pPr>
              <w:spacing w:line="308" w:lineRule="auto"/>
              <w:rPr>
                <w:rFonts w:ascii="Arial"/>
                <w:sz w:val="21"/>
              </w:rPr>
            </w:pPr>
          </w:p>
          <w:p w14:paraId="5DE8DB36">
            <w:pPr>
              <w:pStyle w:val="5"/>
              <w:spacing w:before="94" w:line="174" w:lineRule="auto"/>
              <w:ind w:left="37"/>
            </w:pPr>
            <w:r>
              <w:t>5</w:t>
            </w:r>
          </w:p>
        </w:tc>
        <w:tc>
          <w:tcPr>
            <w:tcW w:w="1410" w:type="dxa"/>
            <w:vMerge w:val="restart"/>
            <w:tcBorders>
              <w:bottom w:val="nil"/>
            </w:tcBorders>
            <w:vAlign w:val="top"/>
          </w:tcPr>
          <w:p w14:paraId="05C01BC7">
            <w:pPr>
              <w:spacing w:line="301" w:lineRule="auto"/>
              <w:rPr>
                <w:rFonts w:ascii="Arial"/>
                <w:sz w:val="21"/>
              </w:rPr>
            </w:pPr>
          </w:p>
          <w:p w14:paraId="20752189">
            <w:pPr>
              <w:spacing w:line="302" w:lineRule="auto"/>
              <w:rPr>
                <w:rFonts w:ascii="Arial"/>
                <w:sz w:val="21"/>
              </w:rPr>
            </w:pPr>
          </w:p>
          <w:p w14:paraId="0627DB27">
            <w:pPr>
              <w:spacing w:line="302" w:lineRule="auto"/>
              <w:rPr>
                <w:rFonts w:ascii="Arial"/>
                <w:sz w:val="21"/>
              </w:rPr>
            </w:pPr>
          </w:p>
          <w:p w14:paraId="05E4CE9F">
            <w:pPr>
              <w:pStyle w:val="5"/>
              <w:spacing w:before="94" w:line="186" w:lineRule="auto"/>
              <w:ind w:left="15"/>
            </w:pPr>
            <w:r>
              <w:rPr>
                <w:spacing w:val="4"/>
              </w:rPr>
              <w:t>付款方式</w:t>
            </w:r>
          </w:p>
        </w:tc>
        <w:tc>
          <w:tcPr>
            <w:tcW w:w="8976" w:type="dxa"/>
            <w:vAlign w:val="top"/>
          </w:tcPr>
          <w:p w14:paraId="72893F13">
            <w:pPr>
              <w:pStyle w:val="5"/>
              <w:spacing w:before="73" w:line="172" w:lineRule="auto"/>
              <w:ind w:left="26" w:right="210" w:firstLine="6"/>
            </w:pPr>
            <w:r>
              <w:rPr>
                <w:spacing w:val="5"/>
              </w:rPr>
              <w:t>5.1 合同签订生效后，中标人自主选择以支票、汇票、本票或者金融机构、担保机构出具</w:t>
            </w:r>
            <w:r>
              <w:t xml:space="preserve"> </w:t>
            </w:r>
            <w:r>
              <w:rPr>
                <w:spacing w:val="5"/>
              </w:rPr>
              <w:t>的保函等非现金形式提交合同金额5%为履约保证金；</w:t>
            </w:r>
          </w:p>
        </w:tc>
      </w:tr>
      <w:tr w14:paraId="6FE5165A">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29" w:hRule="atLeast"/>
        </w:trPr>
        <w:tc>
          <w:tcPr>
            <w:tcW w:w="571" w:type="dxa"/>
            <w:vMerge w:val="continue"/>
            <w:tcBorders>
              <w:top w:val="nil"/>
              <w:bottom w:val="nil"/>
            </w:tcBorders>
            <w:vAlign w:val="top"/>
          </w:tcPr>
          <w:p w14:paraId="64A8A2DC">
            <w:pPr>
              <w:rPr>
                <w:rFonts w:ascii="Arial"/>
                <w:sz w:val="21"/>
              </w:rPr>
            </w:pPr>
          </w:p>
        </w:tc>
        <w:tc>
          <w:tcPr>
            <w:tcW w:w="1410" w:type="dxa"/>
            <w:vMerge w:val="continue"/>
            <w:tcBorders>
              <w:top w:val="nil"/>
              <w:bottom w:val="nil"/>
            </w:tcBorders>
            <w:vAlign w:val="top"/>
          </w:tcPr>
          <w:p w14:paraId="2F020873">
            <w:pPr>
              <w:rPr>
                <w:rFonts w:ascii="Arial"/>
                <w:sz w:val="21"/>
              </w:rPr>
            </w:pPr>
          </w:p>
        </w:tc>
        <w:tc>
          <w:tcPr>
            <w:tcW w:w="8976" w:type="dxa"/>
            <w:vAlign w:val="top"/>
          </w:tcPr>
          <w:p w14:paraId="062DD53B">
            <w:pPr>
              <w:pStyle w:val="5"/>
              <w:spacing w:before="72" w:line="157" w:lineRule="auto"/>
              <w:ind w:left="32"/>
            </w:pPr>
            <w:r>
              <w:rPr>
                <w:spacing w:val="5"/>
              </w:rPr>
              <w:t>5.2</w:t>
            </w:r>
            <w:r>
              <w:rPr>
                <w:spacing w:val="20"/>
              </w:rPr>
              <w:t xml:space="preserve"> </w:t>
            </w:r>
            <w:r>
              <w:rPr>
                <w:spacing w:val="5"/>
              </w:rPr>
              <w:t>中标人提供合同全额发票办理入库后15日，采购人</w:t>
            </w:r>
            <w:r>
              <w:rPr>
                <w:spacing w:val="4"/>
              </w:rPr>
              <w:t>向中标人支付合同全款；</w:t>
            </w:r>
          </w:p>
        </w:tc>
      </w:tr>
      <w:tr w14:paraId="311EB2B8">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1218" w:hRule="atLeast"/>
        </w:trPr>
        <w:tc>
          <w:tcPr>
            <w:tcW w:w="571" w:type="dxa"/>
            <w:vMerge w:val="continue"/>
            <w:tcBorders>
              <w:top w:val="nil"/>
            </w:tcBorders>
            <w:vAlign w:val="top"/>
          </w:tcPr>
          <w:p w14:paraId="0CAEAC6D">
            <w:pPr>
              <w:rPr>
                <w:rFonts w:ascii="Arial"/>
                <w:sz w:val="21"/>
              </w:rPr>
            </w:pPr>
          </w:p>
        </w:tc>
        <w:tc>
          <w:tcPr>
            <w:tcW w:w="1410" w:type="dxa"/>
            <w:vMerge w:val="continue"/>
            <w:tcBorders>
              <w:top w:val="nil"/>
            </w:tcBorders>
            <w:vAlign w:val="top"/>
          </w:tcPr>
          <w:p w14:paraId="319E32C8">
            <w:pPr>
              <w:rPr>
                <w:rFonts w:ascii="Arial"/>
                <w:sz w:val="21"/>
              </w:rPr>
            </w:pPr>
          </w:p>
        </w:tc>
        <w:tc>
          <w:tcPr>
            <w:tcW w:w="8976" w:type="dxa"/>
            <w:vAlign w:val="top"/>
          </w:tcPr>
          <w:p w14:paraId="63D2D4D6">
            <w:pPr>
              <w:pStyle w:val="5"/>
              <w:spacing w:before="75" w:line="180" w:lineRule="auto"/>
              <w:ind w:left="15" w:right="144" w:firstLine="17"/>
              <w:jc w:val="both"/>
            </w:pPr>
            <w:r>
              <w:rPr>
                <w:spacing w:val="5"/>
              </w:rPr>
              <w:t>5.3 履约完成，中标人提出退还履约保证金申请，采购人确认履约合格后无息退还履约保</w:t>
            </w:r>
            <w:r>
              <w:t xml:space="preserve">  </w:t>
            </w:r>
            <w:r>
              <w:rPr>
                <w:spacing w:val="6"/>
              </w:rPr>
              <w:t>证金或者出具相应证明文件。采购人逾期退还履约保证金，需向中标</w:t>
            </w:r>
            <w:r>
              <w:rPr>
                <w:spacing w:val="5"/>
              </w:rPr>
              <w:t>人每日偿付履约保证</w:t>
            </w:r>
            <w:r>
              <w:t xml:space="preserve"> </w:t>
            </w:r>
            <w:r>
              <w:rPr>
                <w:spacing w:val="6"/>
              </w:rPr>
              <w:t>金0.1‰利息。因中标人原因未能达到本项目验收</w:t>
            </w:r>
            <w:r>
              <w:rPr>
                <w:spacing w:val="5"/>
              </w:rPr>
              <w:t>标准或验收不通过的，履约保证金不予</w:t>
            </w:r>
            <w:r>
              <w:t xml:space="preserve">  </w:t>
            </w:r>
            <w:r>
              <w:rPr>
                <w:spacing w:val="-7"/>
              </w:rPr>
              <w:t>退还。</w:t>
            </w:r>
          </w:p>
        </w:tc>
      </w:tr>
      <w:tr w14:paraId="408DE8A6">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Merge w:val="restart"/>
            <w:tcBorders>
              <w:bottom w:val="nil"/>
            </w:tcBorders>
            <w:vAlign w:val="top"/>
          </w:tcPr>
          <w:p w14:paraId="667CE09C">
            <w:pPr>
              <w:spacing w:line="279" w:lineRule="auto"/>
              <w:rPr>
                <w:rFonts w:ascii="Arial"/>
                <w:sz w:val="21"/>
              </w:rPr>
            </w:pPr>
          </w:p>
          <w:p w14:paraId="7E0DC004">
            <w:pPr>
              <w:spacing w:line="279" w:lineRule="auto"/>
              <w:rPr>
                <w:rFonts w:ascii="Arial"/>
                <w:sz w:val="21"/>
              </w:rPr>
            </w:pPr>
          </w:p>
          <w:p w14:paraId="289A5791">
            <w:pPr>
              <w:spacing w:line="279" w:lineRule="auto"/>
              <w:rPr>
                <w:rFonts w:ascii="Arial"/>
                <w:sz w:val="21"/>
              </w:rPr>
            </w:pPr>
          </w:p>
          <w:p w14:paraId="6F5ECD8F">
            <w:pPr>
              <w:spacing w:line="280" w:lineRule="auto"/>
              <w:rPr>
                <w:rFonts w:ascii="Arial"/>
                <w:sz w:val="21"/>
              </w:rPr>
            </w:pPr>
          </w:p>
          <w:p w14:paraId="3850B145">
            <w:pPr>
              <w:spacing w:line="280" w:lineRule="auto"/>
              <w:rPr>
                <w:rFonts w:ascii="Arial"/>
                <w:sz w:val="21"/>
              </w:rPr>
            </w:pPr>
          </w:p>
          <w:p w14:paraId="1D373345">
            <w:pPr>
              <w:spacing w:line="280" w:lineRule="auto"/>
              <w:rPr>
                <w:rFonts w:ascii="Arial"/>
                <w:sz w:val="21"/>
              </w:rPr>
            </w:pPr>
          </w:p>
          <w:p w14:paraId="48EA3BFE">
            <w:pPr>
              <w:pStyle w:val="5"/>
              <w:spacing w:before="94" w:line="176" w:lineRule="auto"/>
              <w:ind w:left="31"/>
            </w:pPr>
            <w:r>
              <w:t>6</w:t>
            </w:r>
          </w:p>
        </w:tc>
        <w:tc>
          <w:tcPr>
            <w:tcW w:w="1410" w:type="dxa"/>
            <w:vMerge w:val="restart"/>
            <w:tcBorders>
              <w:bottom w:val="nil"/>
            </w:tcBorders>
            <w:vAlign w:val="top"/>
          </w:tcPr>
          <w:p w14:paraId="188C18B4">
            <w:pPr>
              <w:spacing w:line="277" w:lineRule="auto"/>
              <w:rPr>
                <w:rFonts w:ascii="Arial"/>
                <w:sz w:val="21"/>
              </w:rPr>
            </w:pPr>
          </w:p>
          <w:p w14:paraId="04B262A1">
            <w:pPr>
              <w:spacing w:line="277" w:lineRule="auto"/>
              <w:rPr>
                <w:rFonts w:ascii="Arial"/>
                <w:sz w:val="21"/>
              </w:rPr>
            </w:pPr>
          </w:p>
          <w:p w14:paraId="1449F18B">
            <w:pPr>
              <w:spacing w:line="277" w:lineRule="auto"/>
              <w:rPr>
                <w:rFonts w:ascii="Arial"/>
                <w:sz w:val="21"/>
              </w:rPr>
            </w:pPr>
          </w:p>
          <w:p w14:paraId="6DAF94C5">
            <w:pPr>
              <w:spacing w:line="277" w:lineRule="auto"/>
              <w:rPr>
                <w:rFonts w:ascii="Arial"/>
                <w:sz w:val="21"/>
              </w:rPr>
            </w:pPr>
          </w:p>
          <w:p w14:paraId="32AAC870">
            <w:pPr>
              <w:spacing w:line="277" w:lineRule="auto"/>
              <w:rPr>
                <w:rFonts w:ascii="Arial"/>
                <w:sz w:val="21"/>
              </w:rPr>
            </w:pPr>
          </w:p>
          <w:p w14:paraId="36DA82F1">
            <w:pPr>
              <w:spacing w:line="277" w:lineRule="auto"/>
              <w:rPr>
                <w:rFonts w:ascii="Arial"/>
                <w:sz w:val="21"/>
              </w:rPr>
            </w:pPr>
          </w:p>
          <w:p w14:paraId="578E8F57">
            <w:pPr>
              <w:pStyle w:val="5"/>
              <w:spacing w:before="94" w:line="186" w:lineRule="auto"/>
              <w:ind w:left="14"/>
            </w:pPr>
            <w:r>
              <w:rPr>
                <w:spacing w:val="5"/>
              </w:rPr>
              <w:t>违约责任</w:t>
            </w:r>
          </w:p>
        </w:tc>
        <w:tc>
          <w:tcPr>
            <w:tcW w:w="8976" w:type="dxa"/>
            <w:vAlign w:val="top"/>
          </w:tcPr>
          <w:p w14:paraId="1C46AB89">
            <w:pPr>
              <w:pStyle w:val="5"/>
              <w:spacing w:before="72" w:line="178" w:lineRule="auto"/>
              <w:ind w:left="15" w:right="194" w:firstLine="10"/>
              <w:jc w:val="both"/>
            </w:pPr>
            <w:r>
              <w:rPr>
                <w:spacing w:val="5"/>
              </w:rPr>
              <w:t>6.1 若本合同约定交付期限届满，中标人不能按照约定交货，中标人应按照未交货产品价</w:t>
            </w:r>
            <w:r>
              <w:rPr>
                <w:spacing w:val="6"/>
              </w:rPr>
              <w:t xml:space="preserve"> 值的1%/日向采购人支付违约金；如逾期超</w:t>
            </w:r>
            <w:r>
              <w:rPr>
                <w:spacing w:val="5"/>
              </w:rPr>
              <w:t>过30日历日(含)的，采购人有权解除本合同，</w:t>
            </w:r>
            <w:r>
              <w:t xml:space="preserve"> </w:t>
            </w:r>
            <w:r>
              <w:rPr>
                <w:spacing w:val="4"/>
              </w:rPr>
              <w:t>并要求中标人按照本合同总金额的30%支付违约金并赔偿损</w:t>
            </w:r>
            <w:r>
              <w:rPr>
                <w:spacing w:val="3"/>
              </w:rPr>
              <w:t>失。</w:t>
            </w:r>
          </w:p>
        </w:tc>
      </w:tr>
      <w:tr w14:paraId="30B1492B">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1515" w:hRule="atLeast"/>
        </w:trPr>
        <w:tc>
          <w:tcPr>
            <w:tcW w:w="571" w:type="dxa"/>
            <w:vMerge w:val="continue"/>
            <w:tcBorders>
              <w:top w:val="nil"/>
              <w:bottom w:val="nil"/>
            </w:tcBorders>
            <w:vAlign w:val="top"/>
          </w:tcPr>
          <w:p w14:paraId="65F0DFDE">
            <w:pPr>
              <w:rPr>
                <w:rFonts w:ascii="Arial"/>
                <w:sz w:val="21"/>
              </w:rPr>
            </w:pPr>
          </w:p>
        </w:tc>
        <w:tc>
          <w:tcPr>
            <w:tcW w:w="1410" w:type="dxa"/>
            <w:vMerge w:val="continue"/>
            <w:tcBorders>
              <w:top w:val="nil"/>
              <w:bottom w:val="nil"/>
            </w:tcBorders>
            <w:vAlign w:val="top"/>
          </w:tcPr>
          <w:p w14:paraId="20F171D9">
            <w:pPr>
              <w:rPr>
                <w:rFonts w:ascii="Arial"/>
                <w:sz w:val="21"/>
              </w:rPr>
            </w:pPr>
          </w:p>
        </w:tc>
        <w:tc>
          <w:tcPr>
            <w:tcW w:w="8976" w:type="dxa"/>
            <w:vAlign w:val="top"/>
          </w:tcPr>
          <w:p w14:paraId="43494933">
            <w:pPr>
              <w:pStyle w:val="5"/>
              <w:spacing w:before="73" w:line="182" w:lineRule="auto"/>
              <w:ind w:left="16" w:right="130" w:firstLine="9"/>
              <w:jc w:val="both"/>
            </w:pPr>
            <w:r>
              <w:rPr>
                <w:spacing w:val="5"/>
              </w:rPr>
              <w:t>6.2 若中标人交付的产品、工程或服务不符合招标文件要求和其投标承诺的，或在投标阶</w:t>
            </w:r>
            <w:r>
              <w:rPr>
                <w:spacing w:val="3"/>
              </w:rPr>
              <w:t xml:space="preserve">  </w:t>
            </w:r>
            <w:r>
              <w:rPr>
                <w:spacing w:val="6"/>
              </w:rPr>
              <w:t>段为了中标而盲目虚假承诺、低价恶性竞争，在履约阶段则通过</w:t>
            </w:r>
            <w:r>
              <w:rPr>
                <w:spacing w:val="5"/>
              </w:rPr>
              <w:t>偷工减料、以次充好而获</w:t>
            </w:r>
            <w:r>
              <w:t xml:space="preserve"> </w:t>
            </w:r>
            <w:r>
              <w:rPr>
                <w:spacing w:val="6"/>
              </w:rPr>
              <w:t>取利润的，将被拒收产品并扣除全货款30%的违约</w:t>
            </w:r>
            <w:r>
              <w:rPr>
                <w:spacing w:val="5"/>
              </w:rPr>
              <w:t>金，且将被列入履约“差评”供应商清</w:t>
            </w:r>
            <w:r>
              <w:t xml:space="preserve"> </w:t>
            </w:r>
            <w:r>
              <w:rPr>
                <w:spacing w:val="6"/>
              </w:rPr>
              <w:t>单，并按主管部门相关规定处理。若违约金无法弥补招标人的损</w:t>
            </w:r>
            <w:r>
              <w:rPr>
                <w:spacing w:val="5"/>
              </w:rPr>
              <w:t>失，中标人还应赔偿招标</w:t>
            </w:r>
            <w:r>
              <w:t xml:space="preserve"> 人因此造成的损失。</w:t>
            </w:r>
          </w:p>
        </w:tc>
      </w:tr>
      <w:tr w14:paraId="6D37A29B">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922" w:hRule="atLeast"/>
        </w:trPr>
        <w:tc>
          <w:tcPr>
            <w:tcW w:w="571" w:type="dxa"/>
            <w:vMerge w:val="continue"/>
            <w:tcBorders>
              <w:top w:val="nil"/>
              <w:bottom w:val="nil"/>
            </w:tcBorders>
            <w:vAlign w:val="top"/>
          </w:tcPr>
          <w:p w14:paraId="126D2CF2">
            <w:pPr>
              <w:rPr>
                <w:rFonts w:ascii="Arial"/>
                <w:sz w:val="21"/>
              </w:rPr>
            </w:pPr>
          </w:p>
        </w:tc>
        <w:tc>
          <w:tcPr>
            <w:tcW w:w="1410" w:type="dxa"/>
            <w:vMerge w:val="continue"/>
            <w:tcBorders>
              <w:top w:val="nil"/>
              <w:bottom w:val="nil"/>
            </w:tcBorders>
            <w:vAlign w:val="top"/>
          </w:tcPr>
          <w:p w14:paraId="32F0F818">
            <w:pPr>
              <w:rPr>
                <w:rFonts w:ascii="Arial"/>
                <w:sz w:val="21"/>
              </w:rPr>
            </w:pPr>
          </w:p>
        </w:tc>
        <w:tc>
          <w:tcPr>
            <w:tcW w:w="8976" w:type="dxa"/>
            <w:vAlign w:val="top"/>
          </w:tcPr>
          <w:p w14:paraId="2AABB841">
            <w:pPr>
              <w:pStyle w:val="5"/>
              <w:spacing w:before="72" w:line="178" w:lineRule="auto"/>
              <w:ind w:left="16" w:right="144" w:firstLine="10"/>
              <w:jc w:val="both"/>
            </w:pPr>
            <w:r>
              <w:rPr>
                <w:spacing w:val="5"/>
              </w:rPr>
              <w:t>6.3 采购人有权从中标人缴纳的履约保证金中直接扣除中标人应承担的违约金和采购人的</w:t>
            </w:r>
            <w:r>
              <w:rPr>
                <w:spacing w:val="3"/>
              </w:rPr>
              <w:t xml:space="preserve">  </w:t>
            </w:r>
            <w:r>
              <w:rPr>
                <w:spacing w:val="6"/>
              </w:rPr>
              <w:t>损失，剩余违约金和采购人的损失，采购人有权要求中标人继续支</w:t>
            </w:r>
            <w:r>
              <w:rPr>
                <w:spacing w:val="5"/>
              </w:rPr>
              <w:t>付。履约保证金不足以</w:t>
            </w:r>
            <w:r>
              <w:t xml:space="preserve"> </w:t>
            </w:r>
            <w:r>
              <w:rPr>
                <w:spacing w:val="4"/>
              </w:rPr>
              <w:t>补偿中标人应承担的违约金和采购人损失的，采购人有权要求中标继续支付。</w:t>
            </w:r>
          </w:p>
        </w:tc>
      </w:tr>
      <w:tr w14:paraId="217F9F0A">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29" w:hRule="atLeast"/>
        </w:trPr>
        <w:tc>
          <w:tcPr>
            <w:tcW w:w="571" w:type="dxa"/>
            <w:vMerge w:val="continue"/>
            <w:tcBorders>
              <w:top w:val="nil"/>
            </w:tcBorders>
            <w:vAlign w:val="top"/>
          </w:tcPr>
          <w:p w14:paraId="146BF6B4">
            <w:pPr>
              <w:rPr>
                <w:rFonts w:ascii="Arial"/>
                <w:sz w:val="21"/>
              </w:rPr>
            </w:pPr>
          </w:p>
        </w:tc>
        <w:tc>
          <w:tcPr>
            <w:tcW w:w="1410" w:type="dxa"/>
            <w:vMerge w:val="continue"/>
            <w:tcBorders>
              <w:top w:val="nil"/>
            </w:tcBorders>
            <w:vAlign w:val="top"/>
          </w:tcPr>
          <w:p w14:paraId="727BB99A">
            <w:pPr>
              <w:rPr>
                <w:rFonts w:ascii="Arial"/>
                <w:sz w:val="21"/>
              </w:rPr>
            </w:pPr>
          </w:p>
        </w:tc>
        <w:tc>
          <w:tcPr>
            <w:tcW w:w="8976" w:type="dxa"/>
            <w:vAlign w:val="top"/>
          </w:tcPr>
          <w:p w14:paraId="2120F9A8">
            <w:pPr>
              <w:pStyle w:val="5"/>
              <w:spacing w:before="70" w:line="158" w:lineRule="auto"/>
              <w:ind w:left="26"/>
            </w:pPr>
            <w:r>
              <w:rPr>
                <w:spacing w:val="-1"/>
              </w:rPr>
              <w:t>6.4 其他违约责任。</w:t>
            </w:r>
          </w:p>
        </w:tc>
      </w:tr>
      <w:tr w14:paraId="77D001CB">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625" w:hRule="atLeast"/>
        </w:trPr>
        <w:tc>
          <w:tcPr>
            <w:tcW w:w="571" w:type="dxa"/>
            <w:vAlign w:val="top"/>
          </w:tcPr>
          <w:p w14:paraId="4B6818AE">
            <w:pPr>
              <w:pStyle w:val="5"/>
              <w:spacing w:before="230" w:line="174" w:lineRule="auto"/>
              <w:ind w:left="30"/>
            </w:pPr>
            <w:r>
              <w:t>7</w:t>
            </w:r>
          </w:p>
        </w:tc>
        <w:tc>
          <w:tcPr>
            <w:tcW w:w="1410" w:type="dxa"/>
            <w:vAlign w:val="top"/>
          </w:tcPr>
          <w:p w14:paraId="3EDF482D">
            <w:pPr>
              <w:pStyle w:val="5"/>
              <w:spacing w:before="210" w:line="187" w:lineRule="auto"/>
              <w:ind w:left="14"/>
            </w:pPr>
            <w:r>
              <w:rPr>
                <w:spacing w:val="5"/>
              </w:rPr>
              <w:t>产品要求</w:t>
            </w:r>
          </w:p>
        </w:tc>
        <w:tc>
          <w:tcPr>
            <w:tcW w:w="8976" w:type="dxa"/>
            <w:vAlign w:val="top"/>
          </w:tcPr>
          <w:p w14:paraId="5E112645">
            <w:pPr>
              <w:pStyle w:val="5"/>
              <w:spacing w:before="67" w:line="174" w:lineRule="auto"/>
              <w:ind w:left="16" w:right="102" w:firstLine="5"/>
            </w:pPr>
            <w:r>
              <w:rPr>
                <w:spacing w:val="5"/>
              </w:rPr>
              <w:t>★7.1 进口产品投标人必须提供由设备制造商(或中国总代理)签署的合法有效的保修、维修</w:t>
            </w:r>
            <w:r>
              <w:rPr>
                <w:spacing w:val="3"/>
              </w:rPr>
              <w:t xml:space="preserve"> </w:t>
            </w:r>
            <w:r>
              <w:rPr>
                <w:spacing w:val="4"/>
              </w:rPr>
              <w:t>承诺函(免费保修期需满足招标文件要求)扫描件，原件备查。国产产品无需提供。</w:t>
            </w:r>
          </w:p>
        </w:tc>
      </w:tr>
      <w:tr w14:paraId="6A1CB3DD">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0" w:type="dxa"/>
            <w:bottom w:w="0" w:type="dxa"/>
            <w:right w:w="0" w:type="dxa"/>
          </w:tblCellMar>
        </w:tblPrEx>
        <w:trPr>
          <w:trHeight w:val="336" w:hRule="atLeast"/>
        </w:trPr>
        <w:tc>
          <w:tcPr>
            <w:tcW w:w="571" w:type="dxa"/>
            <w:vAlign w:val="top"/>
          </w:tcPr>
          <w:p w14:paraId="1C87415A">
            <w:pPr>
              <w:pStyle w:val="5"/>
              <w:spacing w:before="85" w:line="240" w:lineRule="exact"/>
              <w:ind w:left="29"/>
            </w:pPr>
            <w:r>
              <w:rPr>
                <w:position w:val="-1"/>
              </w:rPr>
              <w:t>8</w:t>
            </w:r>
          </w:p>
        </w:tc>
        <w:tc>
          <w:tcPr>
            <w:tcW w:w="1410" w:type="dxa"/>
            <w:vAlign w:val="top"/>
          </w:tcPr>
          <w:p w14:paraId="1D7CBF53">
            <w:pPr>
              <w:pStyle w:val="5"/>
              <w:spacing w:before="71" w:line="162" w:lineRule="auto"/>
              <w:ind w:left="15"/>
            </w:pPr>
            <w:r>
              <w:rPr>
                <w:spacing w:val="4"/>
              </w:rPr>
              <w:t>其他</w:t>
            </w:r>
          </w:p>
        </w:tc>
        <w:tc>
          <w:tcPr>
            <w:tcW w:w="8976" w:type="dxa"/>
            <w:vAlign w:val="top"/>
          </w:tcPr>
          <w:p w14:paraId="529BCAD7">
            <w:pPr>
              <w:pStyle w:val="5"/>
              <w:spacing w:before="69" w:line="163" w:lineRule="auto"/>
              <w:ind w:left="24"/>
            </w:pPr>
            <w:r>
              <w:rPr>
                <w:spacing w:val="3"/>
              </w:rPr>
              <w:t>8.1 投标人应按其投标文件中的承诺，进行其他售后服务工作。</w:t>
            </w:r>
          </w:p>
        </w:tc>
      </w:tr>
    </w:tbl>
    <w:p w14:paraId="6FB7A924">
      <w:pPr>
        <w:spacing w:line="349" w:lineRule="auto"/>
        <w:rPr>
          <w:rFonts w:ascii="Arial"/>
          <w:sz w:val="21"/>
        </w:rPr>
      </w:pPr>
    </w:p>
    <w:p w14:paraId="1B4D7CFD">
      <w:pPr>
        <w:spacing w:line="349" w:lineRule="auto"/>
        <w:rPr>
          <w:rFonts w:ascii="Arial"/>
          <w:sz w:val="21"/>
        </w:rPr>
      </w:pPr>
    </w:p>
    <w:p w14:paraId="4F369398">
      <w:pPr>
        <w:spacing w:before="94" w:line="186" w:lineRule="auto"/>
        <w:ind w:left="13"/>
        <w:outlineLvl w:val="1"/>
        <w:rPr>
          <w:rFonts w:ascii="微软雅黑" w:hAnsi="微软雅黑" w:eastAsia="微软雅黑" w:cs="微软雅黑"/>
          <w:sz w:val="22"/>
          <w:szCs w:val="22"/>
        </w:rPr>
      </w:pPr>
      <w:r>
        <w:rPr>
          <w:rFonts w:ascii="微软雅黑" w:hAnsi="微软雅黑" w:eastAsia="微软雅黑" w:cs="微软雅黑"/>
          <w:b/>
          <w:bCs/>
          <w:spacing w:val="3"/>
          <w:sz w:val="22"/>
          <w:szCs w:val="22"/>
        </w:rPr>
        <w:t>四、配套条件</w:t>
      </w:r>
    </w:p>
    <w:p w14:paraId="5C7DE2D2">
      <w:pPr>
        <w:spacing w:before="248" w:line="174" w:lineRule="auto"/>
        <w:ind w:left="4"/>
        <w:rPr>
          <w:rFonts w:ascii="微软雅黑" w:hAnsi="微软雅黑" w:eastAsia="微软雅黑" w:cs="微软雅黑"/>
          <w:sz w:val="22"/>
          <w:szCs w:val="22"/>
        </w:rPr>
      </w:pPr>
      <w:r>
        <w:rPr>
          <w:rFonts w:ascii="微软雅黑" w:hAnsi="微软雅黑" w:eastAsia="微软雅黑" w:cs="微软雅黑"/>
          <w:spacing w:val="1"/>
          <w:sz w:val="22"/>
          <w:szCs w:val="22"/>
        </w:rPr>
        <w:t>无</w:t>
      </w:r>
    </w:p>
    <w:sectPr>
      <w:pgSz w:w="12240" w:h="15840"/>
      <w:pgMar w:top="1" w:right="639" w:bottom="0" w:left="63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719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RlNzBmYTMyYmY5Mjc2MWZiMjU0YTcyZjU0NDY2YzIifQ=="/>
  </w:docVars>
  <w:rsids>
    <w:rsidRoot w:val="00000000"/>
    <w:rsid w:val="7A4E23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1377</Words>
  <Characters>1474</Characters>
  <TotalTime>7</TotalTime>
  <ScaleCrop>false</ScaleCrop>
  <LinksUpToDate>false</LinksUpToDate>
  <CharactersWithSpaces>1541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2024-11-18T23:20:00Z</dcterms:created>
  <dc:creator>yh</dc:creator>
  <cp:lastModifiedBy>龙羽</cp:lastModifiedBy>
  <dcterms:modified xsi:type="dcterms:W3CDTF">2024-11-20T08:09:55Z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2024-11-20T16:02:31Z</vt:filetime>
  </property>
  <property fmtid="{D5CDD505-2E9C-101B-9397-08002B2CF9AE}" pid="4" name="KSOProductBuildVer">
    <vt:lpwstr>2052-12.1.0.18608</vt:lpwstr>
  </property>
  <property fmtid="{D5CDD505-2E9C-101B-9397-08002B2CF9AE}" pid="5" name="ICV">
    <vt:lpwstr>14BE90A2D2AB46CB929A1195FCDE69C6_12</vt:lpwstr>
  </property>
</Properties>
</file>